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17BC8">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方正小标宋简体" w:eastAsia="方正小标宋简体"/>
          <w:b/>
          <w:sz w:val="40"/>
          <w:szCs w:val="40"/>
          <w:lang w:val="en-US" w:eastAsia="zh-CN"/>
        </w:rPr>
      </w:pPr>
      <w:r>
        <w:rPr>
          <w:rFonts w:hint="eastAsia" w:ascii="方正小标宋简体" w:eastAsia="方正小标宋简体"/>
          <w:b/>
          <w:sz w:val="40"/>
          <w:szCs w:val="40"/>
          <w:lang w:val="en-US" w:eastAsia="zh-CN"/>
        </w:rPr>
        <w:t>附件：</w:t>
      </w:r>
    </w:p>
    <w:p w14:paraId="536C950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eastAsia="方正小标宋简体"/>
          <w:b/>
          <w:sz w:val="44"/>
          <w:szCs w:val="44"/>
          <w:lang w:val="en-US" w:eastAsia="zh-CN"/>
        </w:rPr>
      </w:pPr>
      <w:r>
        <w:rPr>
          <w:rFonts w:hint="eastAsia" w:ascii="方正小标宋简体" w:eastAsia="方正小标宋简体"/>
          <w:b/>
          <w:sz w:val="44"/>
          <w:szCs w:val="44"/>
          <w:lang w:val="en-US" w:eastAsia="zh-CN"/>
        </w:rPr>
        <w:t>南充市公共交通有限责任公司</w:t>
      </w:r>
    </w:p>
    <w:p w14:paraId="64252D9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lang w:val="en-US" w:eastAsia="zh-CN"/>
        </w:rPr>
      </w:pPr>
      <w:r>
        <w:rPr>
          <w:rFonts w:hint="eastAsia" w:ascii="方正小标宋简体" w:hAnsi="方正小标宋简体" w:eastAsia="方正小标宋简体" w:cs="方正小标宋简体"/>
          <w:b/>
          <w:bCs/>
          <w:color w:val="000000"/>
          <w:sz w:val="44"/>
          <w:szCs w:val="44"/>
          <w:lang w:val="en-US" w:eastAsia="zh-CN"/>
        </w:rPr>
        <w:t>2024年度采购</w:t>
      </w:r>
      <w:r>
        <w:rPr>
          <w:rFonts w:hint="eastAsia" w:ascii="方正小标宋简体" w:hAnsi="方正小标宋简体" w:eastAsia="方正小标宋简体" w:cs="方正小标宋简体"/>
          <w:b/>
          <w:bCs/>
          <w:sz w:val="44"/>
          <w:szCs w:val="44"/>
        </w:rPr>
        <w:t>新能源公交车动力电池更换及电机电控等总成系统延保服务</w:t>
      </w:r>
      <w:r>
        <w:rPr>
          <w:rFonts w:hint="eastAsia" w:ascii="方正小标宋简体" w:hAnsi="方正小标宋简体" w:eastAsia="方正小标宋简体" w:cs="方正小标宋简体"/>
          <w:b/>
          <w:bCs/>
          <w:sz w:val="44"/>
          <w:szCs w:val="44"/>
          <w:lang w:val="en-US" w:eastAsia="zh-CN"/>
        </w:rPr>
        <w:t>项目</w:t>
      </w:r>
      <w:r>
        <w:rPr>
          <w:rFonts w:hint="eastAsia" w:ascii="方正小标宋简体" w:eastAsia="方正小标宋简体"/>
          <w:b/>
          <w:sz w:val="44"/>
          <w:szCs w:val="44"/>
          <w:lang w:val="en-US" w:eastAsia="zh-CN"/>
        </w:rPr>
        <w:t>须知</w:t>
      </w:r>
    </w:p>
    <w:p w14:paraId="3CD6039D">
      <w:pPr>
        <w:pStyle w:val="7"/>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lang w:val="en-US" w:eastAsia="zh-CN"/>
        </w:rPr>
      </w:pPr>
    </w:p>
    <w:p w14:paraId="0E5C912A">
      <w:pPr>
        <w:keepNext w:val="0"/>
        <w:keepLines w:val="0"/>
        <w:pageBreakBefore w:val="0"/>
        <w:widowControl w:val="0"/>
        <w:kinsoku/>
        <w:wordWrap/>
        <w:overflowPunct/>
        <w:topLinePunct w:val="0"/>
        <w:autoSpaceDE/>
        <w:autoSpaceDN/>
        <w:bidi w:val="0"/>
        <w:adjustRightInd/>
        <w:snapToGrid/>
        <w:spacing w:line="560" w:lineRule="exact"/>
        <w:ind w:right="640"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一、技术及服务要求</w:t>
      </w:r>
    </w:p>
    <w:tbl>
      <w:tblPr>
        <w:tblStyle w:val="19"/>
        <w:tblW w:w="8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401"/>
        <w:gridCol w:w="1907"/>
        <w:gridCol w:w="2868"/>
        <w:gridCol w:w="1763"/>
      </w:tblGrid>
      <w:tr w14:paraId="450D0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3E3C11A7">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序号</w:t>
            </w:r>
          </w:p>
        </w:tc>
        <w:tc>
          <w:tcPr>
            <w:tcW w:w="1401" w:type="dxa"/>
            <w:noWrap w:val="0"/>
            <w:vAlign w:val="center"/>
          </w:tcPr>
          <w:p w14:paraId="1578DB91">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部件名称</w:t>
            </w:r>
          </w:p>
        </w:tc>
        <w:tc>
          <w:tcPr>
            <w:tcW w:w="1907" w:type="dxa"/>
            <w:noWrap w:val="0"/>
            <w:vAlign w:val="center"/>
          </w:tcPr>
          <w:p w14:paraId="6FDC8FEA">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类别</w:t>
            </w:r>
          </w:p>
        </w:tc>
        <w:tc>
          <w:tcPr>
            <w:tcW w:w="2868" w:type="dxa"/>
            <w:noWrap w:val="0"/>
            <w:vAlign w:val="center"/>
          </w:tcPr>
          <w:p w14:paraId="16CE2252">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技术指标</w:t>
            </w:r>
          </w:p>
        </w:tc>
        <w:tc>
          <w:tcPr>
            <w:tcW w:w="1763" w:type="dxa"/>
            <w:noWrap w:val="0"/>
            <w:vAlign w:val="center"/>
          </w:tcPr>
          <w:p w14:paraId="7F1FF266">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备注</w:t>
            </w:r>
          </w:p>
        </w:tc>
      </w:tr>
      <w:tr w14:paraId="300A6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vMerge w:val="restart"/>
            <w:noWrap w:val="0"/>
            <w:vAlign w:val="center"/>
          </w:tcPr>
          <w:p w14:paraId="6E55D6B4">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1</w:t>
            </w:r>
          </w:p>
        </w:tc>
        <w:tc>
          <w:tcPr>
            <w:tcW w:w="1401" w:type="dxa"/>
            <w:vMerge w:val="restart"/>
            <w:noWrap w:val="0"/>
            <w:vAlign w:val="center"/>
          </w:tcPr>
          <w:p w14:paraId="4EDC380B">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动力电池</w:t>
            </w:r>
          </w:p>
        </w:tc>
        <w:tc>
          <w:tcPr>
            <w:tcW w:w="1907" w:type="dxa"/>
            <w:noWrap w:val="0"/>
            <w:vAlign w:val="center"/>
          </w:tcPr>
          <w:p w14:paraId="4D5EE840">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电池</w:t>
            </w:r>
          </w:p>
          <w:p w14:paraId="62BF8E56">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要求</w:t>
            </w:r>
          </w:p>
        </w:tc>
        <w:tc>
          <w:tcPr>
            <w:tcW w:w="2868" w:type="dxa"/>
            <w:noWrap w:val="0"/>
            <w:vAlign w:val="center"/>
          </w:tcPr>
          <w:p w14:paraId="2E878442">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★全新动力电池，满足原车使用要求</w:t>
            </w:r>
          </w:p>
        </w:tc>
        <w:tc>
          <w:tcPr>
            <w:tcW w:w="1763" w:type="dxa"/>
            <w:vMerge w:val="restart"/>
            <w:noWrap w:val="0"/>
            <w:vAlign w:val="center"/>
          </w:tcPr>
          <w:p w14:paraId="121D2ABB">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出厂日期为2024.1.1以后生产。</w:t>
            </w:r>
          </w:p>
        </w:tc>
      </w:tr>
      <w:tr w14:paraId="1219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31" w:type="dxa"/>
            <w:vMerge w:val="continue"/>
            <w:noWrap w:val="0"/>
            <w:vAlign w:val="center"/>
          </w:tcPr>
          <w:p w14:paraId="77748CCC">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401" w:type="dxa"/>
            <w:vMerge w:val="continue"/>
            <w:noWrap w:val="0"/>
            <w:vAlign w:val="center"/>
          </w:tcPr>
          <w:p w14:paraId="11E63B7A">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907" w:type="dxa"/>
            <w:noWrap w:val="0"/>
            <w:vAlign w:val="center"/>
          </w:tcPr>
          <w:p w14:paraId="02CEA3E6">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额定</w:t>
            </w:r>
          </w:p>
          <w:p w14:paraId="3930B0F8">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电量</w:t>
            </w:r>
          </w:p>
        </w:tc>
        <w:tc>
          <w:tcPr>
            <w:tcW w:w="2868" w:type="dxa"/>
            <w:noWrap w:val="0"/>
            <w:vAlign w:val="center"/>
          </w:tcPr>
          <w:p w14:paraId="28112469">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不低于原车电量，满足使用要求</w:t>
            </w:r>
          </w:p>
        </w:tc>
        <w:tc>
          <w:tcPr>
            <w:tcW w:w="1763" w:type="dxa"/>
            <w:vMerge w:val="continue"/>
            <w:noWrap w:val="0"/>
            <w:vAlign w:val="center"/>
          </w:tcPr>
          <w:p w14:paraId="2C01DA35">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r>
      <w:tr w14:paraId="1A4DC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vMerge w:val="continue"/>
            <w:noWrap w:val="0"/>
            <w:vAlign w:val="center"/>
          </w:tcPr>
          <w:p w14:paraId="4F798BB1">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401" w:type="dxa"/>
            <w:vMerge w:val="continue"/>
            <w:noWrap w:val="0"/>
            <w:vAlign w:val="center"/>
          </w:tcPr>
          <w:p w14:paraId="5BCB2C59">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907" w:type="dxa"/>
            <w:noWrap w:val="0"/>
            <w:vAlign w:val="center"/>
          </w:tcPr>
          <w:p w14:paraId="06BF23F2">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电池封装、电芯</w:t>
            </w:r>
          </w:p>
        </w:tc>
        <w:tc>
          <w:tcPr>
            <w:tcW w:w="2868" w:type="dxa"/>
            <w:noWrap w:val="0"/>
            <w:vAlign w:val="center"/>
          </w:tcPr>
          <w:p w14:paraId="6FA0FB07">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要求同一生产企业</w:t>
            </w:r>
          </w:p>
        </w:tc>
        <w:tc>
          <w:tcPr>
            <w:tcW w:w="1763" w:type="dxa"/>
            <w:vMerge w:val="continue"/>
            <w:noWrap w:val="0"/>
            <w:vAlign w:val="center"/>
          </w:tcPr>
          <w:p w14:paraId="2F64107D">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r>
      <w:tr w14:paraId="2D313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vMerge w:val="continue"/>
            <w:noWrap w:val="0"/>
            <w:vAlign w:val="center"/>
          </w:tcPr>
          <w:p w14:paraId="4F1B296D">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401" w:type="dxa"/>
            <w:vMerge w:val="continue"/>
            <w:noWrap w:val="0"/>
            <w:vAlign w:val="center"/>
          </w:tcPr>
          <w:p w14:paraId="24E21B25">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907" w:type="dxa"/>
            <w:noWrap w:val="0"/>
            <w:vAlign w:val="center"/>
          </w:tcPr>
          <w:p w14:paraId="7B13ED88">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工作电压</w:t>
            </w:r>
          </w:p>
        </w:tc>
        <w:tc>
          <w:tcPr>
            <w:tcW w:w="2868" w:type="dxa"/>
            <w:noWrap w:val="0"/>
            <w:vAlign w:val="center"/>
          </w:tcPr>
          <w:p w14:paraId="6EB4B2C3">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★匹配原车系统要求</w:t>
            </w:r>
          </w:p>
        </w:tc>
        <w:tc>
          <w:tcPr>
            <w:tcW w:w="1763" w:type="dxa"/>
            <w:vMerge w:val="continue"/>
            <w:noWrap w:val="0"/>
            <w:vAlign w:val="center"/>
          </w:tcPr>
          <w:p w14:paraId="5E65E1EB">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r>
      <w:tr w14:paraId="17598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31" w:type="dxa"/>
            <w:vMerge w:val="continue"/>
            <w:noWrap w:val="0"/>
            <w:vAlign w:val="center"/>
          </w:tcPr>
          <w:p w14:paraId="3937E15E">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401" w:type="dxa"/>
            <w:vMerge w:val="continue"/>
            <w:noWrap w:val="0"/>
            <w:vAlign w:val="center"/>
          </w:tcPr>
          <w:p w14:paraId="09CCDF39">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c>
          <w:tcPr>
            <w:tcW w:w="1907" w:type="dxa"/>
            <w:noWrap w:val="0"/>
            <w:vAlign w:val="center"/>
          </w:tcPr>
          <w:p w14:paraId="3BE3497C">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电池</w:t>
            </w:r>
          </w:p>
          <w:p w14:paraId="7188D6DB">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参数</w:t>
            </w:r>
          </w:p>
        </w:tc>
        <w:tc>
          <w:tcPr>
            <w:tcW w:w="2868" w:type="dxa"/>
            <w:noWrap w:val="0"/>
            <w:vAlign w:val="center"/>
          </w:tcPr>
          <w:p w14:paraId="17D2E7DF">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★满足原车电池参数要求（投标人自行勘查现场）</w:t>
            </w:r>
          </w:p>
        </w:tc>
        <w:tc>
          <w:tcPr>
            <w:tcW w:w="1763" w:type="dxa"/>
            <w:vMerge w:val="continue"/>
            <w:noWrap w:val="0"/>
            <w:vAlign w:val="center"/>
          </w:tcPr>
          <w:p w14:paraId="697FEB33">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p>
        </w:tc>
      </w:tr>
      <w:tr w14:paraId="1DB03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731" w:type="dxa"/>
            <w:noWrap w:val="0"/>
            <w:vAlign w:val="center"/>
          </w:tcPr>
          <w:p w14:paraId="60E72AAC">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2</w:t>
            </w:r>
          </w:p>
        </w:tc>
        <w:tc>
          <w:tcPr>
            <w:tcW w:w="1401" w:type="dxa"/>
            <w:noWrap w:val="0"/>
            <w:vAlign w:val="center"/>
          </w:tcPr>
          <w:p w14:paraId="1C4F3296">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驱动电机总成</w:t>
            </w:r>
          </w:p>
        </w:tc>
        <w:tc>
          <w:tcPr>
            <w:tcW w:w="1907" w:type="dxa"/>
            <w:noWrap w:val="0"/>
            <w:vAlign w:val="center"/>
          </w:tcPr>
          <w:p w14:paraId="0D6FA82F">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w:t>
            </w:r>
          </w:p>
        </w:tc>
        <w:tc>
          <w:tcPr>
            <w:tcW w:w="2868" w:type="dxa"/>
            <w:noWrap w:val="0"/>
            <w:vAlign w:val="center"/>
          </w:tcPr>
          <w:p w14:paraId="2993025A">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确保车辆正常使用</w:t>
            </w:r>
          </w:p>
        </w:tc>
        <w:tc>
          <w:tcPr>
            <w:tcW w:w="1763" w:type="dxa"/>
            <w:noWrap w:val="0"/>
            <w:vAlign w:val="center"/>
          </w:tcPr>
          <w:p w14:paraId="0CE606F0">
            <w:pPr>
              <w:pageBreakBefore w:val="0"/>
              <w:widowControl/>
              <w:kinsoku/>
              <w:wordWrap/>
              <w:overflowPunct/>
              <w:topLinePunct w:val="0"/>
              <w:autoSpaceDE/>
              <w:autoSpaceDN/>
              <w:bidi w:val="0"/>
              <w:spacing w:line="240" w:lineRule="auto"/>
              <w:jc w:val="center"/>
              <w:rPr>
                <w:rFonts w:hint="eastAsia" w:ascii="仿宋" w:hAnsi="仿宋" w:eastAsia="仿宋" w:cs="仿宋"/>
                <w:b w:val="0"/>
                <w:bCs w:val="0"/>
                <w:color w:val="000000"/>
                <w:kern w:val="0"/>
                <w:sz w:val="24"/>
                <w:szCs w:val="24"/>
                <w:lang w:val="en-US" w:eastAsia="zh-CN" w:bidi="ar-SA"/>
              </w:rPr>
            </w:pPr>
            <w:r>
              <w:rPr>
                <w:rFonts w:hint="eastAsia" w:ascii="仿宋" w:hAnsi="仿宋" w:eastAsia="仿宋" w:cs="仿宋"/>
                <w:b w:val="0"/>
                <w:bCs w:val="0"/>
                <w:color w:val="000000"/>
                <w:kern w:val="0"/>
                <w:sz w:val="24"/>
                <w:szCs w:val="24"/>
              </w:rPr>
              <w:t>延保至车辆出厂第13年</w:t>
            </w:r>
          </w:p>
        </w:tc>
      </w:tr>
      <w:tr w14:paraId="0FD61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0146BE49">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3</w:t>
            </w:r>
          </w:p>
        </w:tc>
        <w:tc>
          <w:tcPr>
            <w:tcW w:w="1401" w:type="dxa"/>
            <w:noWrap w:val="0"/>
            <w:vAlign w:val="center"/>
          </w:tcPr>
          <w:p w14:paraId="441AC899">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ISG发电机总成</w:t>
            </w:r>
          </w:p>
        </w:tc>
        <w:tc>
          <w:tcPr>
            <w:tcW w:w="1907" w:type="dxa"/>
            <w:noWrap w:val="0"/>
            <w:vAlign w:val="center"/>
          </w:tcPr>
          <w:p w14:paraId="12187556">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w:t>
            </w:r>
          </w:p>
        </w:tc>
        <w:tc>
          <w:tcPr>
            <w:tcW w:w="2868" w:type="dxa"/>
            <w:noWrap w:val="0"/>
            <w:vAlign w:val="center"/>
          </w:tcPr>
          <w:p w14:paraId="19F3DB22">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确保车辆正常使用</w:t>
            </w:r>
          </w:p>
        </w:tc>
        <w:tc>
          <w:tcPr>
            <w:tcW w:w="1763" w:type="dxa"/>
            <w:noWrap w:val="0"/>
            <w:vAlign w:val="center"/>
          </w:tcPr>
          <w:p w14:paraId="01AB2CC3">
            <w:pPr>
              <w:pageBreakBefore w:val="0"/>
              <w:widowControl/>
              <w:kinsoku/>
              <w:wordWrap/>
              <w:overflowPunct/>
              <w:topLinePunct w:val="0"/>
              <w:autoSpaceDE/>
              <w:autoSpaceDN/>
              <w:bidi w:val="0"/>
              <w:spacing w:line="240" w:lineRule="auto"/>
              <w:jc w:val="center"/>
              <w:rPr>
                <w:rFonts w:hint="eastAsia" w:ascii="仿宋" w:hAnsi="仿宋" w:eastAsia="仿宋" w:cs="仿宋"/>
                <w:b w:val="0"/>
                <w:bCs w:val="0"/>
                <w:color w:val="000000"/>
                <w:kern w:val="0"/>
                <w:sz w:val="24"/>
                <w:szCs w:val="24"/>
                <w:lang w:val="en-US" w:eastAsia="zh-CN" w:bidi="ar-SA"/>
              </w:rPr>
            </w:pPr>
            <w:r>
              <w:rPr>
                <w:rFonts w:hint="eastAsia" w:ascii="仿宋" w:hAnsi="仿宋" w:eastAsia="仿宋" w:cs="仿宋"/>
                <w:b w:val="0"/>
                <w:bCs w:val="0"/>
                <w:color w:val="000000"/>
                <w:kern w:val="0"/>
                <w:sz w:val="24"/>
                <w:szCs w:val="24"/>
              </w:rPr>
              <w:t>延保至车辆出厂第13年</w:t>
            </w:r>
          </w:p>
        </w:tc>
      </w:tr>
      <w:tr w14:paraId="54AEC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764AAD3D">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4</w:t>
            </w:r>
          </w:p>
        </w:tc>
        <w:tc>
          <w:tcPr>
            <w:tcW w:w="1401" w:type="dxa"/>
            <w:noWrap w:val="0"/>
            <w:vAlign w:val="center"/>
          </w:tcPr>
          <w:p w14:paraId="254F1B50">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电控总成系统</w:t>
            </w:r>
          </w:p>
        </w:tc>
        <w:tc>
          <w:tcPr>
            <w:tcW w:w="1907" w:type="dxa"/>
            <w:noWrap w:val="0"/>
            <w:vAlign w:val="center"/>
          </w:tcPr>
          <w:p w14:paraId="2EF7C451">
            <w:pPr>
              <w:pageBreakBefore w:val="0"/>
              <w:widowControl/>
              <w:kinsoku/>
              <w:wordWrap/>
              <w:overflowPunct/>
              <w:topLinePunct w:val="0"/>
              <w:autoSpaceDE/>
              <w:autoSpaceDN/>
              <w:bidi w:val="0"/>
              <w:spacing w:line="240" w:lineRule="auto"/>
              <w:ind w:firstLine="0" w:firstLineChars="0"/>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w:t>
            </w:r>
          </w:p>
        </w:tc>
        <w:tc>
          <w:tcPr>
            <w:tcW w:w="2868" w:type="dxa"/>
            <w:noWrap w:val="0"/>
            <w:vAlign w:val="center"/>
          </w:tcPr>
          <w:p w14:paraId="27F8B1BF">
            <w:pPr>
              <w:pageBreakBefore w:val="0"/>
              <w:widowControl/>
              <w:kinsoku/>
              <w:wordWrap/>
              <w:overflowPunct/>
              <w:topLinePunct w:val="0"/>
              <w:autoSpaceDE/>
              <w:autoSpaceDN/>
              <w:bidi w:val="0"/>
              <w:spacing w:line="240" w:lineRule="auto"/>
              <w:ind w:firstLine="0" w:firstLineChars="0"/>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确保车辆正常使用</w:t>
            </w:r>
          </w:p>
        </w:tc>
        <w:tc>
          <w:tcPr>
            <w:tcW w:w="1763" w:type="dxa"/>
            <w:noWrap w:val="0"/>
            <w:vAlign w:val="center"/>
          </w:tcPr>
          <w:p w14:paraId="708F55B4">
            <w:pPr>
              <w:pageBreakBefore w:val="0"/>
              <w:widowControl/>
              <w:kinsoku/>
              <w:wordWrap/>
              <w:overflowPunct/>
              <w:topLinePunct w:val="0"/>
              <w:autoSpaceDE/>
              <w:autoSpaceDN/>
              <w:bidi w:val="0"/>
              <w:spacing w:line="240" w:lineRule="auto"/>
              <w:jc w:val="center"/>
              <w:rPr>
                <w:rFonts w:hint="eastAsia" w:ascii="仿宋" w:hAnsi="仿宋" w:eastAsia="仿宋" w:cs="仿宋"/>
                <w:b w:val="0"/>
                <w:bCs w:val="0"/>
                <w:color w:val="000000"/>
                <w:kern w:val="0"/>
                <w:sz w:val="24"/>
                <w:szCs w:val="24"/>
                <w:lang w:val="en-US" w:eastAsia="zh-CN" w:bidi="ar-SA"/>
              </w:rPr>
            </w:pPr>
            <w:r>
              <w:rPr>
                <w:rFonts w:hint="eastAsia" w:ascii="仿宋" w:hAnsi="仿宋" w:eastAsia="仿宋" w:cs="仿宋"/>
                <w:b w:val="0"/>
                <w:bCs w:val="0"/>
                <w:color w:val="000000"/>
                <w:kern w:val="0"/>
                <w:sz w:val="24"/>
                <w:szCs w:val="24"/>
              </w:rPr>
              <w:t>延保至车辆出厂第13年</w:t>
            </w:r>
          </w:p>
        </w:tc>
      </w:tr>
    </w:tbl>
    <w:p w14:paraId="401FD9F8">
      <w:pPr>
        <w:pageBreakBefore w:val="0"/>
        <w:tabs>
          <w:tab w:val="left" w:pos="0"/>
        </w:tabs>
        <w:kinsoku/>
        <w:wordWrap/>
        <w:overflowPunct/>
        <w:topLinePunct w:val="0"/>
        <w:autoSpaceDE/>
        <w:autoSpaceDN/>
        <w:bidi w:val="0"/>
        <w:snapToGrid w:val="0"/>
        <w:spacing w:line="560" w:lineRule="exact"/>
        <w:ind w:firstLine="643" w:firstLineChars="200"/>
        <w:rPr>
          <w:rFonts w:hint="eastAsia" w:ascii="方正楷体简体" w:hAnsi="方正楷体简体" w:eastAsia="方正楷体简体" w:cs="方正楷体简体"/>
          <w:b/>
          <w:color w:val="000000"/>
          <w:sz w:val="32"/>
          <w:szCs w:val="32"/>
        </w:rPr>
      </w:pPr>
      <w:r>
        <w:rPr>
          <w:rFonts w:hint="eastAsia" w:ascii="方正楷体简体" w:hAnsi="方正楷体简体" w:eastAsia="方正楷体简体" w:cs="方正楷体简体"/>
          <w:b/>
          <w:color w:val="000000"/>
          <w:sz w:val="32"/>
          <w:szCs w:val="32"/>
          <w:lang w:eastAsia="zh-CN"/>
        </w:rPr>
        <w:t>（一）</w:t>
      </w:r>
      <w:r>
        <w:rPr>
          <w:rFonts w:hint="eastAsia" w:ascii="方正楷体简体" w:hAnsi="方正楷体简体" w:eastAsia="方正楷体简体" w:cs="方正楷体简体"/>
          <w:b/>
          <w:color w:val="000000"/>
          <w:sz w:val="32"/>
          <w:szCs w:val="32"/>
        </w:rPr>
        <w:t>、动力电池更换服务技术要求：</w:t>
      </w:r>
    </w:p>
    <w:p w14:paraId="7B7CCFA1">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color w:val="000000"/>
          <w:sz w:val="32"/>
          <w:szCs w:val="32"/>
        </w:rPr>
      </w:pPr>
      <w:r>
        <w:rPr>
          <w:rFonts w:hint="eastAsia" w:ascii="方正仿宋简体" w:hAnsi="方正仿宋简体" w:eastAsia="方正仿宋简体" w:cs="方正仿宋简体"/>
          <w:b w:val="0"/>
          <w:bCs/>
          <w:color w:val="000000"/>
          <w:sz w:val="32"/>
          <w:szCs w:val="32"/>
          <w:lang w:val="en-US" w:eastAsia="zh-CN"/>
        </w:rPr>
        <w:t>1、</w:t>
      </w:r>
      <w:r>
        <w:rPr>
          <w:rFonts w:hint="eastAsia" w:ascii="方正仿宋简体" w:hAnsi="方正仿宋简体" w:eastAsia="方正仿宋简体" w:cs="方正仿宋简体"/>
          <w:b w:val="0"/>
          <w:bCs/>
          <w:color w:val="000000"/>
          <w:sz w:val="32"/>
          <w:szCs w:val="32"/>
        </w:rPr>
        <w:t>中标方自行与车辆厂家协商车辆通讯协议及控制程序，换电后的电池系统匹配原车整车电压平台和电控平台，换电后保留原车技术性能、安全性能不变，保留原车充电程序，保证车辆换电后运营安全、稳定。</w:t>
      </w:r>
    </w:p>
    <w:p w14:paraId="740CD453">
      <w:pPr>
        <w:pStyle w:val="2"/>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方正仿宋简体" w:hAnsi="方正仿宋简体" w:eastAsia="方正仿宋简体" w:cs="方正仿宋简体"/>
          <w:b w:val="0"/>
          <w:bCs/>
          <w:color w:val="000000"/>
          <w:sz w:val="32"/>
          <w:szCs w:val="32"/>
        </w:rPr>
      </w:pPr>
      <w:r>
        <w:rPr>
          <w:rFonts w:hint="eastAsia" w:ascii="方正仿宋简体" w:hAnsi="方正仿宋简体" w:eastAsia="方正仿宋简体" w:cs="方正仿宋简体"/>
          <w:b w:val="0"/>
          <w:bCs/>
          <w:color w:val="000000"/>
          <w:sz w:val="32"/>
          <w:szCs w:val="32"/>
        </w:rPr>
        <w:t>2、更换动力电池后的整车性能应满足 GB7258-2017《机动车运行安全技术条件》、GB38900-2020《机动车安全技术检验项目和方法》、GB1589-2016《汽车、挂车及汽车列车外廓尺寸、轴荷及质</w:t>
      </w:r>
      <w:r>
        <w:rPr>
          <w:rFonts w:hint="eastAsia" w:ascii="方正仿宋简体" w:hAnsi="方正仿宋简体" w:eastAsia="方正仿宋简体" w:cs="方正仿宋简体"/>
          <w:b w:val="0"/>
          <w:bCs/>
          <w:color w:val="000000"/>
          <w:sz w:val="32"/>
          <w:szCs w:val="32"/>
          <w:lang w:eastAsia="zh-CN"/>
        </w:rPr>
        <w:t>量</w:t>
      </w:r>
      <w:r>
        <w:rPr>
          <w:rFonts w:hint="eastAsia" w:ascii="方正仿宋简体" w:hAnsi="方正仿宋简体" w:eastAsia="方正仿宋简体" w:cs="方正仿宋简体"/>
          <w:b w:val="0"/>
          <w:bCs/>
          <w:color w:val="000000"/>
          <w:sz w:val="32"/>
          <w:szCs w:val="32"/>
        </w:rPr>
        <w:t>限值》、GB38031-2020《电动汽车用动力蓄电池安全要求》。</w:t>
      </w:r>
    </w:p>
    <w:p w14:paraId="0BFF734D">
      <w:pPr>
        <w:pStyle w:val="2"/>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方正仿宋简体" w:hAnsi="方正仿宋简体" w:eastAsia="方正仿宋简体" w:cs="方正仿宋简体"/>
          <w:b w:val="0"/>
          <w:bCs/>
          <w:color w:val="000000"/>
          <w:sz w:val="32"/>
          <w:szCs w:val="32"/>
          <w:lang w:val="en-US" w:eastAsia="zh-CN"/>
        </w:rPr>
      </w:pPr>
      <w:r>
        <w:rPr>
          <w:rFonts w:hint="eastAsia" w:ascii="方正仿宋简体" w:hAnsi="方正仿宋简体" w:eastAsia="方正仿宋简体" w:cs="方正仿宋简体"/>
          <w:b w:val="0"/>
          <w:bCs/>
          <w:color w:val="000000"/>
          <w:sz w:val="32"/>
          <w:szCs w:val="32"/>
          <w:lang w:val="en-US" w:eastAsia="zh-CN"/>
        </w:rPr>
        <w:t>3、整车动力电池更换安装后，中标方独立完成整车的调试和测试。</w:t>
      </w:r>
    </w:p>
    <w:p w14:paraId="798682F1">
      <w:pPr>
        <w:pageBreakBefore w:val="0"/>
        <w:tabs>
          <w:tab w:val="left" w:pos="0"/>
        </w:tabs>
        <w:kinsoku/>
        <w:wordWrap/>
        <w:overflowPunct/>
        <w:topLinePunct w:val="0"/>
        <w:autoSpaceDE/>
        <w:autoSpaceDN/>
        <w:bidi w:val="0"/>
        <w:snapToGrid w:val="0"/>
        <w:spacing w:line="560" w:lineRule="exact"/>
        <w:ind w:firstLine="643" w:firstLineChars="200"/>
        <w:rPr>
          <w:rFonts w:hint="eastAsia" w:ascii="方正楷体简体" w:hAnsi="方正楷体简体" w:eastAsia="方正楷体简体" w:cs="方正楷体简体"/>
          <w:b/>
          <w:color w:val="000000"/>
          <w:sz w:val="32"/>
          <w:szCs w:val="32"/>
          <w:lang w:eastAsia="zh-CN"/>
        </w:rPr>
      </w:pPr>
      <w:bookmarkStart w:id="0" w:name="_Toc15177"/>
      <w:r>
        <w:rPr>
          <w:rFonts w:hint="eastAsia" w:ascii="方正楷体简体" w:hAnsi="方正楷体简体" w:eastAsia="方正楷体简体" w:cs="方正楷体简体"/>
          <w:b/>
          <w:color w:val="000000"/>
          <w:sz w:val="32"/>
          <w:szCs w:val="32"/>
          <w:lang w:eastAsia="zh-CN"/>
        </w:rPr>
        <w:t>（二）服务要求</w:t>
      </w:r>
      <w:bookmarkEnd w:id="0"/>
    </w:p>
    <w:p w14:paraId="5ABE593D">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bookmarkStart w:id="1" w:name="_Toc2201"/>
      <w:r>
        <w:rPr>
          <w:rFonts w:hint="eastAsia" w:ascii="方正仿宋简体" w:hAnsi="方正仿宋简体" w:eastAsia="方正仿宋简体" w:cs="方正仿宋简体"/>
          <w:b w:val="0"/>
          <w:bCs w:val="0"/>
          <w:color w:val="000000"/>
          <w:kern w:val="2"/>
          <w:sz w:val="32"/>
          <w:szCs w:val="32"/>
          <w:lang w:val="en-US" w:eastAsia="zh-CN" w:bidi="ar-SA"/>
        </w:rPr>
        <w:t>1、中标方应向采购方提供符合要求的电池，并确保电池安全、可靠。中标人应保证所提供的货物经正确安装、正常运转和保养后，在其使用寿命期内应具有满足采购方所需求的性能。在货物质量保证期内，中标人应对所供货物由于设计、工艺或者材料的缺陷而发生的任何不足或者故障负责。</w:t>
      </w:r>
    </w:p>
    <w:p w14:paraId="1DAD8836">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kern w:val="2"/>
          <w:sz w:val="32"/>
          <w:szCs w:val="32"/>
          <w:lang w:val="en-US" w:eastAsia="zh-CN" w:bidi="ar-SA"/>
        </w:rPr>
        <w:t>2、中标方更换的电池须符合“交通运输部 财政部关于印发《新能源城市公交车及动力电池更新补贴实施细则》的通知（交运函〔2024〕390号）”补贴政策，不得因中标人所投产品或服务原因造成采购人无法申领对该项目的补贴。如造成损失的，由中标方全额承担（提供承诺函）。</w:t>
      </w:r>
    </w:p>
    <w:p w14:paraId="60BAEC16">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kern w:val="2"/>
          <w:sz w:val="32"/>
          <w:szCs w:val="32"/>
          <w:lang w:val="en-US" w:eastAsia="zh-CN" w:bidi="ar-SA"/>
        </w:rPr>
        <w:t>3、中标方负责电池日常维护、检查工作。当出现电池</w:t>
      </w:r>
      <w:r>
        <w:rPr>
          <w:rFonts w:hint="eastAsia" w:ascii="方正仿宋简体" w:hAnsi="方正仿宋简体" w:eastAsia="方正仿宋简体" w:cs="方正仿宋简体"/>
          <w:b w:val="0"/>
          <w:bCs w:val="0"/>
          <w:color w:val="000000"/>
          <w:sz w:val="32"/>
          <w:szCs w:val="32"/>
        </w:rPr>
        <w:t>故障、单体电压超过规定差值、绝缘性能下降等不正常情况，中标方应3日内，排查、维护、更换电池组及相关附件。</w:t>
      </w:r>
    </w:p>
    <w:p w14:paraId="1DA3A036">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sz w:val="32"/>
          <w:szCs w:val="32"/>
          <w:lang w:val="en-US" w:eastAsia="zh-CN"/>
        </w:rPr>
        <w:t>4、</w:t>
      </w:r>
      <w:r>
        <w:rPr>
          <w:rFonts w:hint="eastAsia" w:ascii="方正仿宋简体" w:hAnsi="方正仿宋简体" w:eastAsia="方正仿宋简体" w:cs="方正仿宋简体"/>
          <w:b w:val="0"/>
          <w:bCs w:val="0"/>
          <w:color w:val="000000"/>
          <w:sz w:val="32"/>
          <w:szCs w:val="32"/>
        </w:rPr>
        <w:t>在质保期间，中标方提供的产品（电池系统）的衰减率不得超过20%</w:t>
      </w:r>
      <w:r>
        <w:rPr>
          <w:rFonts w:hint="eastAsia" w:ascii="方正仿宋简体" w:hAnsi="方正仿宋简体" w:eastAsia="方正仿宋简体" w:cs="方正仿宋简体"/>
          <w:b w:val="0"/>
          <w:bCs w:val="0"/>
          <w:color w:val="000000"/>
          <w:sz w:val="32"/>
          <w:szCs w:val="32"/>
          <w:lang w:eastAsia="zh-CN"/>
        </w:rPr>
        <w:t>，</w:t>
      </w:r>
      <w:r>
        <w:rPr>
          <w:rFonts w:hint="eastAsia" w:ascii="方正仿宋简体" w:hAnsi="方正仿宋简体" w:eastAsia="方正仿宋简体" w:cs="方正仿宋简体"/>
          <w:b w:val="0"/>
          <w:bCs w:val="0"/>
          <w:color w:val="000000"/>
          <w:sz w:val="32"/>
          <w:szCs w:val="32"/>
        </w:rPr>
        <w:t>如超过20%经调试、均衡后，仍不能满足电池充满电状态下达电池正常总容量80%要求的，中标方</w:t>
      </w:r>
      <w:r>
        <w:rPr>
          <w:rFonts w:hint="eastAsia" w:ascii="方正仿宋简体" w:hAnsi="方正仿宋简体" w:eastAsia="方正仿宋简体" w:cs="方正仿宋简体"/>
          <w:b w:val="0"/>
          <w:bCs w:val="0"/>
          <w:color w:val="000000"/>
          <w:kern w:val="2"/>
          <w:sz w:val="32"/>
          <w:szCs w:val="32"/>
          <w:lang w:val="en-US" w:eastAsia="zh-CN" w:bidi="ar-SA"/>
        </w:rPr>
        <w:t>应3日内更换动力电池系统。</w:t>
      </w:r>
    </w:p>
    <w:p w14:paraId="1BFBE5C6">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kern w:val="2"/>
          <w:sz w:val="32"/>
          <w:szCs w:val="32"/>
          <w:lang w:val="en-US" w:eastAsia="zh-CN" w:bidi="ar-SA"/>
        </w:rPr>
        <w:t>5、由于中标方的电池质量等原因造成采购方及采购方所服务对象的直接、间接经济损失的，由中标方负责承担，包括电池原因造成车辆火警（火灾），由中标方承担全部责任。</w:t>
      </w:r>
    </w:p>
    <w:p w14:paraId="7B0ACB90">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kern w:val="2"/>
          <w:sz w:val="32"/>
          <w:szCs w:val="32"/>
          <w:lang w:val="en-US" w:eastAsia="zh-CN" w:bidi="ar-SA"/>
        </w:rPr>
        <w:t>6、电机、电控系统延保服务，中标方应对两电系统进行全面的维护保养，在延保期间，两电出现故障，由中标方3日内维修更换。</w:t>
      </w:r>
    </w:p>
    <w:p w14:paraId="361483EE">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kern w:val="2"/>
          <w:sz w:val="32"/>
          <w:szCs w:val="32"/>
          <w:lang w:val="en-US" w:eastAsia="zh-CN" w:bidi="ar-SA"/>
        </w:rPr>
        <w:t>7、故障处理响应要求：中标方接到报修电话后一小时内响应，三天内解决问题，如三天内不能解决，从第四天起开始按照500元/天在余款中扣除。</w:t>
      </w:r>
    </w:p>
    <w:bookmarkEnd w:id="1"/>
    <w:p w14:paraId="5F085E62">
      <w:pPr>
        <w:pageBreakBefore w:val="0"/>
        <w:tabs>
          <w:tab w:val="left" w:pos="0"/>
        </w:tabs>
        <w:kinsoku/>
        <w:wordWrap/>
        <w:overflowPunct/>
        <w:topLinePunct w:val="0"/>
        <w:autoSpaceDE/>
        <w:autoSpaceDN/>
        <w:bidi w:val="0"/>
        <w:snapToGrid w:val="0"/>
        <w:spacing w:line="560" w:lineRule="exact"/>
        <w:ind w:firstLine="640" w:firstLineChars="200"/>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kern w:val="2"/>
          <w:sz w:val="32"/>
          <w:szCs w:val="32"/>
          <w:lang w:val="en-US" w:eastAsia="zh-CN" w:bidi="ar-SA"/>
        </w:rPr>
        <w:t>8、中标人对现有车辆旧电池处置时必须遵守国家的法律法规，造成后果的，一切损失和责任由中标人承担。</w:t>
      </w:r>
    </w:p>
    <w:p w14:paraId="0B4EA2D5">
      <w:pPr>
        <w:keepNext w:val="0"/>
        <w:keepLines w:val="0"/>
        <w:pageBreakBefore w:val="0"/>
        <w:widowControl w:val="0"/>
        <w:kinsoku/>
        <w:wordWrap/>
        <w:overflowPunct/>
        <w:topLinePunct w:val="0"/>
        <w:autoSpaceDE/>
        <w:autoSpaceDN/>
        <w:bidi w:val="0"/>
        <w:adjustRightInd/>
        <w:snapToGrid/>
        <w:spacing w:line="560" w:lineRule="exact"/>
        <w:ind w:right="640" w:firstLine="640" w:firstLineChars="200"/>
        <w:textAlignment w:val="auto"/>
        <w:rPr>
          <w:rFonts w:hint="eastAsia" w:ascii="方正仿宋简体" w:hAnsi="方正仿宋简体" w:eastAsia="方正仿宋简体" w:cs="方正仿宋简体"/>
          <w:b w:val="0"/>
          <w:bCs w:val="0"/>
          <w:color w:val="000000"/>
          <w:kern w:val="2"/>
          <w:sz w:val="32"/>
          <w:szCs w:val="32"/>
          <w:lang w:val="en-US" w:eastAsia="zh-CN" w:bidi="ar-SA"/>
        </w:rPr>
      </w:pPr>
      <w:r>
        <w:rPr>
          <w:rFonts w:hint="eastAsia" w:ascii="方正仿宋简体" w:hAnsi="方正仿宋简体" w:eastAsia="方正仿宋简体" w:cs="方正仿宋简体"/>
          <w:b w:val="0"/>
          <w:bCs w:val="0"/>
          <w:color w:val="000000"/>
          <w:kern w:val="2"/>
          <w:sz w:val="32"/>
          <w:szCs w:val="32"/>
          <w:lang w:val="en-US" w:eastAsia="zh-CN" w:bidi="ar-SA"/>
        </w:rPr>
        <w:t>9、中标人对该项目的施工、延保、质保制定出详细的方案。</w:t>
      </w:r>
    </w:p>
    <w:p w14:paraId="7972C1D9">
      <w:pPr>
        <w:keepNext w:val="0"/>
        <w:keepLines w:val="0"/>
        <w:pageBreakBefore w:val="0"/>
        <w:widowControl w:val="0"/>
        <w:kinsoku/>
        <w:wordWrap/>
        <w:overflowPunct/>
        <w:topLinePunct w:val="0"/>
        <w:autoSpaceDE/>
        <w:autoSpaceDN/>
        <w:bidi w:val="0"/>
        <w:adjustRightInd/>
        <w:snapToGrid/>
        <w:spacing w:line="560" w:lineRule="exact"/>
        <w:ind w:right="64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二、供应商特别注意事项</w:t>
      </w:r>
    </w:p>
    <w:p w14:paraId="5F8D3F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1.各受邀供应商应在报价文件内，按照采购方需求提供报价。</w:t>
      </w:r>
    </w:p>
    <w:p w14:paraId="38B2F4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2.提供法人/负责人身份证、委托书、委托人身份证、《营业执照》复印件。</w:t>
      </w:r>
    </w:p>
    <w:p w14:paraId="6A03F5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 w:hAnsi="仿宋" w:eastAsia="仿宋" w:cs="仿宋"/>
          <w:sz w:val="32"/>
          <w:szCs w:val="40"/>
          <w:lang w:val="en-US" w:eastAsia="zh-CN"/>
        </w:rPr>
        <w:t>3.以上资料均需加盖受邀供应商单位鲜章并密封。</w:t>
      </w:r>
    </w:p>
    <w:p w14:paraId="320BBBDF">
      <w:pPr>
        <w:pageBreakBefore w:val="0"/>
        <w:kinsoku/>
        <w:wordWrap/>
        <w:overflowPunct/>
        <w:topLinePunct w:val="0"/>
        <w:autoSpaceDE/>
        <w:autoSpaceDN/>
        <w:bidi w:val="0"/>
        <w:spacing w:line="560" w:lineRule="exact"/>
        <w:ind w:firstLine="643" w:firstLineChars="200"/>
        <w:rPr>
          <w:rFonts w:hint="eastAsia" w:ascii="方正黑体简体" w:hAnsi="方正黑体简体" w:eastAsia="方正黑体简体" w:cs="方正黑体简体"/>
          <w:b/>
          <w:bCs/>
          <w:color w:val="000000"/>
          <w:sz w:val="32"/>
          <w:szCs w:val="32"/>
          <w:lang w:val="en-US" w:eastAsia="zh-CN"/>
        </w:rPr>
      </w:pPr>
      <w:r>
        <w:rPr>
          <w:rFonts w:hint="eastAsia" w:ascii="方正黑体简体" w:hAnsi="方正黑体简体" w:eastAsia="方正黑体简体" w:cs="方正黑体简体"/>
          <w:b/>
          <w:bCs/>
          <w:color w:val="000000"/>
          <w:sz w:val="32"/>
          <w:szCs w:val="32"/>
          <w:lang w:val="en-US" w:eastAsia="zh-CN"/>
        </w:rPr>
        <w:t>三、付款方式：</w:t>
      </w:r>
    </w:p>
    <w:p w14:paraId="3C950F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lang w:eastAsia="zh-CN"/>
        </w:rPr>
      </w:pPr>
      <w:r>
        <w:rPr>
          <w:rFonts w:hint="eastAsia" w:ascii="方正仿宋简体" w:hAnsi="方正仿宋简体" w:eastAsia="方正仿宋简体" w:cs="方正仿宋简体"/>
          <w:b w:val="0"/>
          <w:bCs w:val="0"/>
          <w:color w:val="000000"/>
          <w:sz w:val="32"/>
          <w:szCs w:val="32"/>
        </w:rPr>
        <w:t>1</w:t>
      </w:r>
      <w:r>
        <w:rPr>
          <w:rFonts w:hint="eastAsia" w:ascii="方正仿宋简体" w:hAnsi="方正仿宋简体" w:eastAsia="方正仿宋简体" w:cs="方正仿宋简体"/>
          <w:b w:val="0"/>
          <w:bCs w:val="0"/>
          <w:color w:val="000000"/>
          <w:sz w:val="32"/>
          <w:szCs w:val="32"/>
          <w:lang w:val="en-US" w:eastAsia="zh-CN"/>
        </w:rPr>
        <w:t>.</w:t>
      </w:r>
      <w:r>
        <w:rPr>
          <w:rFonts w:hint="eastAsia" w:ascii="方正仿宋简体" w:hAnsi="方正仿宋简体" w:eastAsia="方正仿宋简体" w:cs="方正仿宋简体"/>
          <w:b w:val="0"/>
          <w:bCs w:val="0"/>
          <w:color w:val="000000"/>
          <w:sz w:val="32"/>
          <w:szCs w:val="32"/>
        </w:rPr>
        <w:t>合同签订后10个工作日内，甲方支付合同总价的</w:t>
      </w:r>
      <w:r>
        <w:rPr>
          <w:rFonts w:hint="eastAsia" w:ascii="方正仿宋简体" w:hAnsi="方正仿宋简体" w:eastAsia="方正仿宋简体" w:cs="方正仿宋简体"/>
          <w:b w:val="0"/>
          <w:bCs w:val="0"/>
          <w:color w:val="000000"/>
          <w:sz w:val="32"/>
          <w:szCs w:val="32"/>
          <w:lang w:val="en-US" w:eastAsia="zh-CN"/>
        </w:rPr>
        <w:t>3</w:t>
      </w:r>
      <w:r>
        <w:rPr>
          <w:rFonts w:hint="eastAsia" w:ascii="方正仿宋简体" w:hAnsi="方正仿宋简体" w:eastAsia="方正仿宋简体" w:cs="方正仿宋简体"/>
          <w:b w:val="0"/>
          <w:bCs w:val="0"/>
          <w:color w:val="000000"/>
          <w:sz w:val="32"/>
          <w:szCs w:val="32"/>
        </w:rPr>
        <w:t>0%作为预付款</w:t>
      </w:r>
      <w:r>
        <w:rPr>
          <w:rFonts w:hint="eastAsia" w:ascii="方正仿宋简体" w:hAnsi="方正仿宋简体" w:eastAsia="方正仿宋简体" w:cs="方正仿宋简体"/>
          <w:b w:val="0"/>
          <w:bCs w:val="0"/>
          <w:color w:val="000000"/>
          <w:sz w:val="32"/>
          <w:szCs w:val="32"/>
          <w:lang w:eastAsia="zh-CN"/>
        </w:rPr>
        <w:t>。</w:t>
      </w:r>
    </w:p>
    <w:p w14:paraId="35A35D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lang w:eastAsia="zh-CN"/>
        </w:rPr>
      </w:pPr>
      <w:r>
        <w:rPr>
          <w:rFonts w:hint="eastAsia" w:ascii="方正仿宋简体" w:hAnsi="方正仿宋简体" w:eastAsia="方正仿宋简体" w:cs="方正仿宋简体"/>
          <w:b w:val="0"/>
          <w:bCs w:val="0"/>
          <w:color w:val="000000"/>
          <w:sz w:val="32"/>
          <w:szCs w:val="32"/>
        </w:rPr>
        <w:t>2</w:t>
      </w:r>
      <w:r>
        <w:rPr>
          <w:rFonts w:hint="eastAsia" w:ascii="方正仿宋简体" w:hAnsi="方正仿宋简体" w:eastAsia="方正仿宋简体" w:cs="方正仿宋简体"/>
          <w:b w:val="0"/>
          <w:bCs w:val="0"/>
          <w:color w:val="000000"/>
          <w:sz w:val="32"/>
          <w:szCs w:val="32"/>
          <w:lang w:val="en-US" w:eastAsia="zh-CN"/>
        </w:rPr>
        <w:t>.</w:t>
      </w:r>
      <w:r>
        <w:rPr>
          <w:rFonts w:hint="eastAsia" w:ascii="方正仿宋简体" w:hAnsi="方正仿宋简体" w:eastAsia="方正仿宋简体" w:cs="方正仿宋简体"/>
          <w:b w:val="0"/>
          <w:bCs w:val="0"/>
          <w:color w:val="000000"/>
          <w:sz w:val="32"/>
          <w:szCs w:val="32"/>
        </w:rPr>
        <w:t>所有车辆电池更换完成，双方签订验收合格证明后10个工作日内，甲方支付合同总价的40%</w:t>
      </w:r>
      <w:r>
        <w:rPr>
          <w:rFonts w:hint="eastAsia" w:ascii="方正仿宋简体" w:hAnsi="方正仿宋简体" w:eastAsia="方正仿宋简体" w:cs="方正仿宋简体"/>
          <w:b w:val="0"/>
          <w:bCs w:val="0"/>
          <w:color w:val="000000"/>
          <w:sz w:val="32"/>
          <w:szCs w:val="32"/>
          <w:lang w:eastAsia="zh-CN"/>
        </w:rPr>
        <w:t>，</w:t>
      </w:r>
      <w:r>
        <w:rPr>
          <w:rFonts w:hint="eastAsia" w:ascii="方正仿宋简体" w:hAnsi="方正仿宋简体" w:eastAsia="方正仿宋简体" w:cs="方正仿宋简体"/>
          <w:b w:val="0"/>
          <w:bCs w:val="0"/>
          <w:color w:val="000000"/>
          <w:sz w:val="32"/>
          <w:szCs w:val="32"/>
        </w:rPr>
        <w:t>同时根据约定无息退还合同履约保证金</w:t>
      </w:r>
      <w:r>
        <w:rPr>
          <w:rFonts w:hint="eastAsia" w:ascii="方正仿宋简体" w:hAnsi="方正仿宋简体" w:eastAsia="方正仿宋简体" w:cs="方正仿宋简体"/>
          <w:b w:val="0"/>
          <w:bCs w:val="0"/>
          <w:color w:val="000000"/>
          <w:sz w:val="32"/>
          <w:szCs w:val="32"/>
          <w:lang w:eastAsia="zh-CN"/>
        </w:rPr>
        <w:t>。</w:t>
      </w:r>
    </w:p>
    <w:p w14:paraId="678D2DA6">
      <w:pPr>
        <w:pageBreakBefore w:val="0"/>
        <w:kinsoku/>
        <w:wordWrap/>
        <w:overflowPunct/>
        <w:topLinePunct w:val="0"/>
        <w:autoSpaceDE/>
        <w:autoSpaceDN/>
        <w:bidi w:val="0"/>
        <w:spacing w:beforeLines="20" w:afterLines="20" w:line="560" w:lineRule="exact"/>
        <w:ind w:right="-92" w:rightChars="-44" w:firstLine="640" w:firstLineChars="200"/>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3</w:t>
      </w:r>
      <w:r>
        <w:rPr>
          <w:rFonts w:hint="eastAsia" w:ascii="方正仿宋简体" w:hAnsi="方正仿宋简体" w:eastAsia="方正仿宋简体" w:cs="方正仿宋简体"/>
          <w:b w:val="0"/>
          <w:bCs w:val="0"/>
          <w:color w:val="000000"/>
          <w:sz w:val="32"/>
          <w:szCs w:val="32"/>
          <w:lang w:val="en-US" w:eastAsia="zh-CN"/>
        </w:rPr>
        <w:t>.</w:t>
      </w:r>
      <w:r>
        <w:rPr>
          <w:rFonts w:hint="eastAsia" w:ascii="方正仿宋简体" w:hAnsi="方正仿宋简体" w:eastAsia="方正仿宋简体" w:cs="方正仿宋简体"/>
          <w:b w:val="0"/>
          <w:bCs w:val="0"/>
          <w:color w:val="000000"/>
          <w:sz w:val="32"/>
          <w:szCs w:val="32"/>
        </w:rPr>
        <w:t>动力电池更新补贴申领经交通运输主管部门审核通过后10个工作日内，甲方支付合同总价的</w:t>
      </w:r>
      <w:r>
        <w:rPr>
          <w:rFonts w:hint="eastAsia" w:ascii="方正仿宋简体" w:hAnsi="方正仿宋简体" w:eastAsia="方正仿宋简体" w:cs="方正仿宋简体"/>
          <w:b w:val="0"/>
          <w:bCs w:val="0"/>
          <w:color w:val="000000"/>
          <w:sz w:val="32"/>
          <w:szCs w:val="32"/>
          <w:lang w:val="en-US" w:eastAsia="zh-CN"/>
        </w:rPr>
        <w:t>2</w:t>
      </w:r>
      <w:r>
        <w:rPr>
          <w:rFonts w:hint="eastAsia" w:ascii="方正仿宋简体" w:hAnsi="方正仿宋简体" w:eastAsia="方正仿宋简体" w:cs="方正仿宋简体"/>
          <w:b w:val="0"/>
          <w:bCs w:val="0"/>
          <w:color w:val="000000"/>
          <w:sz w:val="32"/>
          <w:szCs w:val="32"/>
        </w:rPr>
        <w:t>0%</w:t>
      </w:r>
      <w:r>
        <w:rPr>
          <w:rFonts w:hint="eastAsia" w:ascii="方正仿宋简体" w:hAnsi="方正仿宋简体" w:eastAsia="方正仿宋简体" w:cs="方正仿宋简体"/>
          <w:b w:val="0"/>
          <w:bCs w:val="0"/>
          <w:color w:val="000000"/>
          <w:sz w:val="32"/>
          <w:szCs w:val="32"/>
          <w:lang w:eastAsia="zh-CN"/>
        </w:rPr>
        <w:t>。</w:t>
      </w:r>
      <w:r>
        <w:rPr>
          <w:rFonts w:hint="eastAsia" w:ascii="方正仿宋简体" w:hAnsi="方正仿宋简体" w:eastAsia="方正仿宋简体" w:cs="方正仿宋简体"/>
          <w:b w:val="0"/>
          <w:bCs w:val="0"/>
          <w:color w:val="000000"/>
          <w:sz w:val="32"/>
          <w:szCs w:val="32"/>
        </w:rPr>
        <w:t>因政策原因或乙方提供的产品</w:t>
      </w:r>
      <w:r>
        <w:rPr>
          <w:rFonts w:hint="eastAsia" w:ascii="方正仿宋简体" w:hAnsi="方正仿宋简体" w:eastAsia="方正仿宋简体" w:cs="方正仿宋简体"/>
          <w:b w:val="0"/>
          <w:bCs w:val="0"/>
          <w:color w:val="000000"/>
          <w:sz w:val="32"/>
          <w:szCs w:val="32"/>
          <w:lang w:val="en-US" w:eastAsia="zh-CN"/>
        </w:rPr>
        <w:t>及</w:t>
      </w:r>
      <w:r>
        <w:rPr>
          <w:rFonts w:hint="eastAsia" w:ascii="方正仿宋简体" w:hAnsi="方正仿宋简体" w:eastAsia="方正仿宋简体" w:cs="方正仿宋简体"/>
          <w:b w:val="0"/>
          <w:bCs w:val="0"/>
          <w:color w:val="000000"/>
          <w:sz w:val="32"/>
          <w:szCs w:val="32"/>
        </w:rPr>
        <w:t>服务</w:t>
      </w:r>
      <w:r>
        <w:rPr>
          <w:rFonts w:hint="eastAsia" w:ascii="方正仿宋简体" w:hAnsi="方正仿宋简体" w:eastAsia="方正仿宋简体" w:cs="方正仿宋简体"/>
          <w:b w:val="0"/>
          <w:bCs w:val="0"/>
          <w:color w:val="000000"/>
          <w:sz w:val="32"/>
          <w:szCs w:val="32"/>
          <w:lang w:val="en-US" w:eastAsia="zh-CN"/>
        </w:rPr>
        <w:t>完全满足补贴申领条件</w:t>
      </w:r>
      <w:r>
        <w:rPr>
          <w:rFonts w:hint="eastAsia" w:ascii="方正仿宋简体" w:hAnsi="方正仿宋简体" w:eastAsia="方正仿宋简体" w:cs="方正仿宋简体"/>
          <w:b w:val="0"/>
          <w:bCs w:val="0"/>
          <w:color w:val="000000"/>
          <w:sz w:val="32"/>
          <w:szCs w:val="32"/>
        </w:rPr>
        <w:t>且乙方已积极配合甲方完成补贴申领程序，交通运输主管部门仍未通过审核后的10个工作日内，甲方支付合同总价的</w:t>
      </w:r>
      <w:r>
        <w:rPr>
          <w:rFonts w:hint="eastAsia" w:ascii="方正仿宋简体" w:hAnsi="方正仿宋简体" w:eastAsia="方正仿宋简体" w:cs="方正仿宋简体"/>
          <w:b w:val="0"/>
          <w:bCs w:val="0"/>
          <w:color w:val="000000"/>
          <w:sz w:val="32"/>
          <w:szCs w:val="32"/>
          <w:lang w:val="en-US" w:eastAsia="zh-CN"/>
        </w:rPr>
        <w:t>2</w:t>
      </w:r>
      <w:r>
        <w:rPr>
          <w:rFonts w:hint="eastAsia" w:ascii="方正仿宋简体" w:hAnsi="方正仿宋简体" w:eastAsia="方正仿宋简体" w:cs="方正仿宋简体"/>
          <w:b w:val="0"/>
          <w:bCs w:val="0"/>
          <w:color w:val="000000"/>
          <w:sz w:val="32"/>
          <w:szCs w:val="32"/>
        </w:rPr>
        <w:t>0%。</w:t>
      </w:r>
    </w:p>
    <w:p w14:paraId="3DE782A4">
      <w:pPr>
        <w:pageBreakBefore w:val="0"/>
        <w:numPr>
          <w:ilvl w:val="0"/>
          <w:numId w:val="0"/>
        </w:numPr>
        <w:kinsoku/>
        <w:wordWrap/>
        <w:overflowPunct/>
        <w:topLinePunct w:val="0"/>
        <w:autoSpaceDE/>
        <w:autoSpaceDN/>
        <w:bidi w:val="0"/>
        <w:spacing w:beforeLines="20" w:afterLines="20" w:line="560" w:lineRule="exact"/>
        <w:ind w:right="-92" w:rightChars="-44" w:firstLine="640" w:firstLineChars="200"/>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lang w:val="en-US" w:eastAsia="zh-CN"/>
        </w:rPr>
        <w:t>4.</w:t>
      </w:r>
      <w:r>
        <w:rPr>
          <w:rFonts w:hint="eastAsia" w:ascii="方正仿宋简体" w:hAnsi="方正仿宋简体" w:eastAsia="方正仿宋简体" w:cs="方正仿宋简体"/>
          <w:b w:val="0"/>
          <w:bCs w:val="0"/>
          <w:color w:val="000000"/>
          <w:sz w:val="32"/>
          <w:szCs w:val="32"/>
        </w:rPr>
        <w:t>剩余10%</w:t>
      </w:r>
      <w:r>
        <w:rPr>
          <w:rFonts w:hint="eastAsia" w:ascii="方正仿宋简体" w:hAnsi="方正仿宋简体" w:eastAsia="方正仿宋简体" w:cs="方正仿宋简体"/>
          <w:b w:val="0"/>
          <w:bCs w:val="0"/>
          <w:color w:val="000000"/>
          <w:sz w:val="32"/>
          <w:szCs w:val="32"/>
          <w:lang w:eastAsia="zh-CN"/>
        </w:rPr>
        <w:t>，</w:t>
      </w:r>
      <w:r>
        <w:rPr>
          <w:rFonts w:hint="eastAsia" w:ascii="方正仿宋简体" w:hAnsi="方正仿宋简体" w:eastAsia="方正仿宋简体" w:cs="方正仿宋简体"/>
          <w:b w:val="0"/>
          <w:bCs w:val="0"/>
          <w:color w:val="000000"/>
          <w:sz w:val="32"/>
          <w:szCs w:val="32"/>
        </w:rPr>
        <w:t>待质保期满后一次性付清。</w:t>
      </w:r>
    </w:p>
    <w:p w14:paraId="1BF22E3B">
      <w:pPr>
        <w:pageBreakBefore w:val="0"/>
        <w:kinsoku/>
        <w:wordWrap/>
        <w:overflowPunct/>
        <w:topLinePunct w:val="0"/>
        <w:autoSpaceDE/>
        <w:autoSpaceDN/>
        <w:bidi w:val="0"/>
        <w:spacing w:line="560" w:lineRule="exact"/>
        <w:rPr>
          <w:rFonts w:hint="eastAsia" w:ascii="方正仿宋简体" w:hAnsi="方正仿宋简体" w:eastAsia="方正仿宋简体" w:cs="方正仿宋简体"/>
          <w:b/>
          <w:bCs/>
          <w:color w:val="000000"/>
          <w:sz w:val="32"/>
          <w:szCs w:val="32"/>
          <w:lang w:eastAsia="zh-CN"/>
        </w:rPr>
      </w:pPr>
      <w:r>
        <w:rPr>
          <w:rFonts w:hint="eastAsia" w:ascii="方正黑体简体" w:hAnsi="方正黑体简体" w:eastAsia="方正黑体简体" w:cs="方正黑体简体"/>
          <w:b/>
          <w:bCs/>
          <w:color w:val="000000"/>
          <w:sz w:val="32"/>
          <w:szCs w:val="32"/>
          <w:lang w:val="en-US" w:eastAsia="zh-CN"/>
        </w:rPr>
        <w:t>四、报价表（格式）</w:t>
      </w:r>
    </w:p>
    <w:p w14:paraId="6E591F19">
      <w:pPr>
        <w:numPr>
          <w:ilvl w:val="0"/>
          <w:numId w:val="0"/>
        </w:numPr>
        <w:jc w:val="center"/>
        <w:rPr>
          <w:rFonts w:hint="eastAsia" w:ascii="方正仿宋简体" w:hAnsi="方正仿宋简体" w:eastAsia="方正仿宋简体" w:cs="方正仿宋简体"/>
          <w:b w:val="0"/>
          <w:bCs w:val="0"/>
          <w:color w:val="000000"/>
          <w:sz w:val="32"/>
          <w:szCs w:val="32"/>
          <w:lang w:eastAsia="zh-CN"/>
        </w:rPr>
      </w:pPr>
      <w:r>
        <w:rPr>
          <w:rFonts w:hint="eastAsia" w:ascii="方正仿宋简体" w:hAnsi="方正仿宋简体" w:eastAsia="方正仿宋简体" w:cs="方正仿宋简体"/>
          <w:b w:val="0"/>
          <w:bCs w:val="0"/>
          <w:color w:val="000000"/>
          <w:sz w:val="32"/>
          <w:szCs w:val="32"/>
          <w:lang w:eastAsia="zh-CN"/>
        </w:rPr>
        <w:t>报价表</w:t>
      </w:r>
    </w:p>
    <w:p w14:paraId="075ACA9E">
      <w:pPr>
        <w:numPr>
          <w:ilvl w:val="0"/>
          <w:numId w:val="0"/>
        </w:numPr>
        <w:rPr>
          <w:rFonts w:hint="default" w:ascii="方正仿宋简体" w:hAnsi="方正仿宋简体" w:eastAsia="方正仿宋简体" w:cs="方正仿宋简体"/>
          <w:b w:val="0"/>
          <w:bCs w:val="0"/>
          <w:color w:val="000000"/>
          <w:sz w:val="32"/>
          <w:szCs w:val="32"/>
          <w:lang w:val="en-US" w:eastAsia="zh-CN"/>
        </w:rPr>
      </w:pPr>
      <w:r>
        <w:rPr>
          <w:rFonts w:hint="eastAsia" w:ascii="方正仿宋简体" w:hAnsi="方正仿宋简体" w:eastAsia="方正仿宋简体" w:cs="方正仿宋简体"/>
          <w:b w:val="0"/>
          <w:bCs w:val="0"/>
          <w:color w:val="000000"/>
          <w:sz w:val="32"/>
          <w:szCs w:val="32"/>
          <w:lang w:eastAsia="zh-CN"/>
        </w:rPr>
        <w:t>报价单位（盖章）：</w:t>
      </w:r>
      <w:r>
        <w:rPr>
          <w:rFonts w:hint="eastAsia" w:ascii="方正仿宋简体" w:hAnsi="方正仿宋简体" w:eastAsia="方正仿宋简体" w:cs="方正仿宋简体"/>
          <w:b w:val="0"/>
          <w:bCs w:val="0"/>
          <w:color w:val="000000"/>
          <w:sz w:val="32"/>
          <w:szCs w:val="32"/>
          <w:lang w:val="en-US" w:eastAsia="zh-CN"/>
        </w:rPr>
        <w:t xml:space="preserve">                          报价日期：</w:t>
      </w:r>
    </w:p>
    <w:tbl>
      <w:tblPr>
        <w:tblStyle w:val="19"/>
        <w:tblW w:w="10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841"/>
        <w:gridCol w:w="2733"/>
        <w:gridCol w:w="1879"/>
        <w:gridCol w:w="1663"/>
        <w:gridCol w:w="1231"/>
      </w:tblGrid>
      <w:tr w14:paraId="44808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top"/>
          </w:tcPr>
          <w:p w14:paraId="61267F91">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r>
              <w:rPr>
                <w:rFonts w:hint="eastAsia" w:ascii="方正仿宋简体" w:hAnsi="方正仿宋简体" w:eastAsia="方正仿宋简体" w:cs="方正仿宋简体"/>
                <w:b w:val="0"/>
                <w:bCs w:val="0"/>
                <w:color w:val="000000" w:themeColor="text1"/>
                <w:kern w:val="0"/>
                <w:sz w:val="24"/>
                <w:szCs w:val="24"/>
              </w:rPr>
              <w:t>公交车电池更换，电机电控延保车数量</w:t>
            </w:r>
          </w:p>
        </w:tc>
        <w:tc>
          <w:tcPr>
            <w:tcW w:w="841" w:type="dxa"/>
            <w:tcBorders>
              <w:top w:val="single" w:color="auto" w:sz="4" w:space="0"/>
              <w:left w:val="single" w:color="auto" w:sz="4" w:space="0"/>
              <w:bottom w:val="single" w:color="auto" w:sz="4" w:space="0"/>
              <w:right w:val="single" w:color="auto" w:sz="4" w:space="0"/>
            </w:tcBorders>
            <w:noWrap w:val="0"/>
            <w:vAlign w:val="center"/>
          </w:tcPr>
          <w:p w14:paraId="15ABBA8C">
            <w:pPr>
              <w:keepNext w:val="0"/>
              <w:keepLines w:val="0"/>
              <w:widowControl/>
              <w:suppressLineNumbers w:val="0"/>
              <w:jc w:val="center"/>
              <w:textAlignment w:val="center"/>
              <w:rPr>
                <w:rFonts w:hint="eastAsia" w:ascii="方正仿宋简体" w:hAnsi="方正仿宋简体" w:eastAsia="方正仿宋简体" w:cs="方正仿宋简体"/>
                <w:b w:val="0"/>
                <w:bCs w:val="0"/>
                <w:color w:val="000000" w:themeColor="text1"/>
                <w:kern w:val="0"/>
                <w:sz w:val="24"/>
                <w:szCs w:val="24"/>
                <w:lang w:val="en-US" w:eastAsia="zh-CN" w:bidi="ar-SA"/>
              </w:rPr>
            </w:pPr>
            <w:r>
              <w:rPr>
                <w:rFonts w:hint="eastAsia" w:ascii="方正仿宋简体" w:hAnsi="方正仿宋简体" w:eastAsia="方正仿宋简体" w:cs="方正仿宋简体"/>
                <w:b w:val="0"/>
                <w:bCs w:val="0"/>
                <w:color w:val="000000" w:themeColor="text1"/>
                <w:kern w:val="0"/>
                <w:sz w:val="24"/>
                <w:szCs w:val="24"/>
                <w:lang w:val="en-US" w:eastAsia="zh-CN" w:bidi="ar-SA"/>
              </w:rPr>
              <w:t>单位</w:t>
            </w:r>
          </w:p>
        </w:tc>
        <w:tc>
          <w:tcPr>
            <w:tcW w:w="2733" w:type="dxa"/>
            <w:tcBorders>
              <w:top w:val="single" w:color="auto" w:sz="4" w:space="0"/>
              <w:left w:val="single" w:color="auto" w:sz="4" w:space="0"/>
              <w:bottom w:val="single" w:color="auto" w:sz="4" w:space="0"/>
              <w:right w:val="single" w:color="auto" w:sz="4" w:space="0"/>
            </w:tcBorders>
            <w:noWrap w:val="0"/>
            <w:vAlign w:val="center"/>
          </w:tcPr>
          <w:p w14:paraId="3C00B084">
            <w:pPr>
              <w:keepNext w:val="0"/>
              <w:keepLines w:val="0"/>
              <w:widowControl/>
              <w:suppressLineNumbers w:val="0"/>
              <w:jc w:val="center"/>
              <w:textAlignment w:val="center"/>
              <w:rPr>
                <w:rFonts w:hint="eastAsia" w:ascii="方正仿宋简体" w:hAnsi="方正仿宋简体" w:eastAsia="方正仿宋简体" w:cs="方正仿宋简体"/>
                <w:b w:val="0"/>
                <w:bCs w:val="0"/>
                <w:color w:val="000000" w:themeColor="text1"/>
                <w:kern w:val="0"/>
                <w:sz w:val="24"/>
                <w:szCs w:val="24"/>
                <w:lang w:val="en-US" w:eastAsia="zh-CN" w:bidi="ar-SA"/>
              </w:rPr>
            </w:pPr>
            <w:r>
              <w:rPr>
                <w:rFonts w:hint="eastAsia" w:ascii="方正仿宋简体" w:hAnsi="方正仿宋简体" w:eastAsia="方正仿宋简体" w:cs="方正仿宋简体"/>
                <w:b w:val="0"/>
                <w:bCs w:val="0"/>
                <w:color w:val="auto"/>
                <w:kern w:val="0"/>
                <w:sz w:val="24"/>
                <w:szCs w:val="24"/>
                <w:highlight w:val="none"/>
                <w:lang w:val="en-US" w:eastAsia="zh-CN" w:bidi="ar-SA"/>
              </w:rPr>
              <w:t>单价（元）</w:t>
            </w:r>
          </w:p>
        </w:tc>
        <w:tc>
          <w:tcPr>
            <w:tcW w:w="1879" w:type="dxa"/>
            <w:tcBorders>
              <w:top w:val="single" w:color="auto" w:sz="4" w:space="0"/>
              <w:left w:val="single" w:color="auto" w:sz="4" w:space="0"/>
              <w:bottom w:val="single" w:color="auto" w:sz="4" w:space="0"/>
              <w:right w:val="single" w:color="auto" w:sz="4" w:space="0"/>
            </w:tcBorders>
            <w:noWrap w:val="0"/>
            <w:vAlign w:val="center"/>
          </w:tcPr>
          <w:p w14:paraId="600F668C">
            <w:pPr>
              <w:keepNext w:val="0"/>
              <w:keepLines w:val="0"/>
              <w:widowControl/>
              <w:suppressLineNumbers w:val="0"/>
              <w:jc w:val="center"/>
              <w:textAlignment w:val="center"/>
              <w:rPr>
                <w:rFonts w:hint="eastAsia" w:ascii="方正仿宋简体" w:hAnsi="方正仿宋简体" w:eastAsia="方正仿宋简体" w:cs="方正仿宋简体"/>
                <w:b w:val="0"/>
                <w:bCs w:val="0"/>
                <w:color w:val="000000" w:themeColor="text1"/>
                <w:kern w:val="0"/>
                <w:sz w:val="24"/>
                <w:szCs w:val="24"/>
                <w:lang w:val="en-US" w:eastAsia="zh-CN" w:bidi="ar-SA"/>
              </w:rPr>
            </w:pPr>
            <w:r>
              <w:rPr>
                <w:rFonts w:hint="eastAsia" w:ascii="方正仿宋简体" w:hAnsi="方正仿宋简体" w:eastAsia="方正仿宋简体" w:cs="方正仿宋简体"/>
                <w:b w:val="0"/>
                <w:bCs w:val="0"/>
                <w:color w:val="000000" w:themeColor="text1"/>
                <w:kern w:val="0"/>
                <w:sz w:val="24"/>
                <w:szCs w:val="24"/>
                <w:lang w:val="en-US" w:eastAsia="zh-CN" w:bidi="ar-SA"/>
              </w:rPr>
              <w:t>联系人</w:t>
            </w:r>
          </w:p>
        </w:tc>
        <w:tc>
          <w:tcPr>
            <w:tcW w:w="1663" w:type="dxa"/>
            <w:tcBorders>
              <w:top w:val="single" w:color="auto" w:sz="4" w:space="0"/>
              <w:left w:val="single" w:color="auto" w:sz="4" w:space="0"/>
              <w:bottom w:val="single" w:color="auto" w:sz="4" w:space="0"/>
              <w:right w:val="single" w:color="auto" w:sz="4" w:space="0"/>
            </w:tcBorders>
            <w:noWrap w:val="0"/>
            <w:vAlign w:val="center"/>
          </w:tcPr>
          <w:p w14:paraId="3C35974D">
            <w:pPr>
              <w:keepNext w:val="0"/>
              <w:keepLines w:val="0"/>
              <w:widowControl/>
              <w:suppressLineNumbers w:val="0"/>
              <w:jc w:val="center"/>
              <w:textAlignment w:val="center"/>
              <w:rPr>
                <w:rFonts w:hint="eastAsia" w:ascii="方正仿宋简体" w:hAnsi="方正仿宋简体" w:eastAsia="方正仿宋简体" w:cs="方正仿宋简体"/>
                <w:b w:val="0"/>
                <w:bCs w:val="0"/>
                <w:color w:val="000000" w:themeColor="text1"/>
                <w:kern w:val="0"/>
                <w:sz w:val="24"/>
                <w:szCs w:val="24"/>
                <w:lang w:val="en-US" w:eastAsia="zh-CN" w:bidi="ar-SA"/>
              </w:rPr>
            </w:pPr>
            <w:r>
              <w:rPr>
                <w:rFonts w:hint="eastAsia" w:ascii="方正仿宋简体" w:hAnsi="方正仿宋简体" w:eastAsia="方正仿宋简体" w:cs="方正仿宋简体"/>
                <w:b w:val="0"/>
                <w:bCs w:val="0"/>
                <w:color w:val="000000" w:themeColor="text1"/>
                <w:kern w:val="0"/>
                <w:sz w:val="24"/>
                <w:szCs w:val="24"/>
                <w:lang w:val="en-US" w:eastAsia="zh-CN" w:bidi="ar-SA"/>
              </w:rPr>
              <w:t>联系电话</w:t>
            </w:r>
          </w:p>
        </w:tc>
        <w:tc>
          <w:tcPr>
            <w:tcW w:w="1231" w:type="dxa"/>
            <w:tcBorders>
              <w:top w:val="single" w:color="auto" w:sz="4" w:space="0"/>
              <w:left w:val="single" w:color="auto" w:sz="4" w:space="0"/>
              <w:bottom w:val="single" w:color="auto" w:sz="4" w:space="0"/>
              <w:right w:val="single" w:color="auto" w:sz="4" w:space="0"/>
            </w:tcBorders>
            <w:noWrap w:val="0"/>
            <w:vAlign w:val="center"/>
          </w:tcPr>
          <w:p w14:paraId="16A03CF9">
            <w:pPr>
              <w:keepNext w:val="0"/>
              <w:keepLines w:val="0"/>
              <w:widowControl/>
              <w:suppressLineNumbers w:val="0"/>
              <w:jc w:val="center"/>
              <w:textAlignment w:val="center"/>
              <w:rPr>
                <w:rFonts w:hint="eastAsia" w:ascii="方正仿宋简体" w:hAnsi="方正仿宋简体" w:eastAsia="方正仿宋简体" w:cs="方正仿宋简体"/>
                <w:b w:val="0"/>
                <w:bCs w:val="0"/>
                <w:color w:val="000000" w:themeColor="text1"/>
                <w:kern w:val="0"/>
                <w:sz w:val="24"/>
                <w:szCs w:val="24"/>
                <w:lang w:val="en-US" w:eastAsia="zh-CN" w:bidi="ar-SA"/>
              </w:rPr>
            </w:pPr>
            <w:r>
              <w:rPr>
                <w:rFonts w:hint="eastAsia" w:ascii="方正仿宋简体" w:hAnsi="方正仿宋简体" w:eastAsia="方正仿宋简体" w:cs="方正仿宋简体"/>
                <w:b w:val="0"/>
                <w:bCs w:val="0"/>
                <w:color w:val="000000" w:themeColor="text1"/>
                <w:kern w:val="0"/>
                <w:sz w:val="24"/>
                <w:szCs w:val="24"/>
                <w:lang w:val="en-US" w:eastAsia="zh-CN" w:bidi="ar-SA"/>
              </w:rPr>
              <w:t>备注</w:t>
            </w:r>
          </w:p>
        </w:tc>
      </w:tr>
      <w:tr w14:paraId="203F5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top"/>
          </w:tcPr>
          <w:p w14:paraId="6F096AB5">
            <w:pPr>
              <w:pStyle w:val="49"/>
              <w:keepNext w:val="0"/>
              <w:keepLines w:val="0"/>
              <w:pageBreakBefore w:val="0"/>
              <w:kinsoku/>
              <w:wordWrap/>
              <w:overflowPunct/>
              <w:topLinePunct w:val="0"/>
              <w:autoSpaceDE/>
              <w:autoSpaceDN/>
              <w:bidi w:val="0"/>
              <w:adjustRightInd/>
              <w:snapToGrid w:val="0"/>
              <w:spacing w:line="560" w:lineRule="exact"/>
              <w:jc w:val="center"/>
              <w:textAlignment w:val="auto"/>
              <w:rPr>
                <w:rFonts w:hint="default" w:ascii="方正仿宋简体" w:hAnsi="方正仿宋简体" w:eastAsia="方正仿宋简体" w:cs="方正仿宋简体"/>
                <w:b w:val="0"/>
                <w:bCs w:val="0"/>
                <w:color w:val="000000" w:themeColor="text1"/>
                <w:kern w:val="0"/>
                <w:sz w:val="24"/>
                <w:szCs w:val="24"/>
                <w:lang w:val="en-US" w:eastAsia="zh-CN"/>
              </w:rPr>
            </w:pPr>
            <w:r>
              <w:rPr>
                <w:rFonts w:hint="eastAsia" w:ascii="方正仿宋简体" w:hAnsi="方正仿宋简体" w:eastAsia="方正仿宋简体" w:cs="方正仿宋简体"/>
                <w:b w:val="0"/>
                <w:bCs w:val="0"/>
                <w:color w:val="000000" w:themeColor="text1"/>
                <w:kern w:val="0"/>
                <w:sz w:val="24"/>
                <w:szCs w:val="24"/>
                <w:lang w:val="en-US" w:eastAsia="zh-CN"/>
              </w:rPr>
              <w:t>35</w:t>
            </w:r>
          </w:p>
        </w:tc>
        <w:tc>
          <w:tcPr>
            <w:tcW w:w="841" w:type="dxa"/>
            <w:tcBorders>
              <w:top w:val="single" w:color="auto" w:sz="4" w:space="0"/>
              <w:left w:val="single" w:color="auto" w:sz="4" w:space="0"/>
              <w:bottom w:val="single" w:color="auto" w:sz="4" w:space="0"/>
              <w:right w:val="single" w:color="auto" w:sz="4" w:space="0"/>
            </w:tcBorders>
            <w:noWrap w:val="0"/>
            <w:vAlign w:val="top"/>
          </w:tcPr>
          <w:p w14:paraId="0CECA2B7">
            <w:pPr>
              <w:pStyle w:val="49"/>
              <w:keepNext w:val="0"/>
              <w:keepLines w:val="0"/>
              <w:pageBreakBefore w:val="0"/>
              <w:kinsoku/>
              <w:wordWrap/>
              <w:overflowPunct/>
              <w:topLinePunct w:val="0"/>
              <w:autoSpaceDE/>
              <w:autoSpaceDN/>
              <w:bidi w:val="0"/>
              <w:adjustRightInd/>
              <w:snapToGrid w:val="0"/>
              <w:spacing w:line="560" w:lineRule="exact"/>
              <w:jc w:val="center"/>
              <w:textAlignment w:val="auto"/>
              <w:rPr>
                <w:rFonts w:hint="eastAsia" w:ascii="方正仿宋简体" w:hAnsi="方正仿宋简体" w:eastAsia="方正仿宋简体" w:cs="方正仿宋简体"/>
                <w:b w:val="0"/>
                <w:bCs w:val="0"/>
                <w:color w:val="000000" w:themeColor="text1"/>
                <w:kern w:val="0"/>
                <w:sz w:val="24"/>
                <w:szCs w:val="24"/>
                <w:lang w:eastAsia="zh-CN"/>
              </w:rPr>
            </w:pPr>
            <w:r>
              <w:rPr>
                <w:rFonts w:hint="eastAsia" w:ascii="方正仿宋简体" w:hAnsi="方正仿宋简体" w:eastAsia="方正仿宋简体" w:cs="方正仿宋简体"/>
                <w:b w:val="0"/>
                <w:bCs w:val="0"/>
                <w:color w:val="000000" w:themeColor="text1"/>
                <w:kern w:val="0"/>
                <w:sz w:val="24"/>
                <w:szCs w:val="24"/>
                <w:lang w:eastAsia="zh-CN"/>
              </w:rPr>
              <w:t>套</w:t>
            </w:r>
          </w:p>
        </w:tc>
        <w:tc>
          <w:tcPr>
            <w:tcW w:w="2733" w:type="dxa"/>
            <w:tcBorders>
              <w:top w:val="single" w:color="auto" w:sz="4" w:space="0"/>
              <w:left w:val="single" w:color="auto" w:sz="4" w:space="0"/>
              <w:bottom w:val="single" w:color="auto" w:sz="4" w:space="0"/>
              <w:right w:val="single" w:color="auto" w:sz="4" w:space="0"/>
            </w:tcBorders>
            <w:noWrap w:val="0"/>
            <w:vAlign w:val="top"/>
          </w:tcPr>
          <w:p w14:paraId="2C1D81CC">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p>
        </w:tc>
        <w:tc>
          <w:tcPr>
            <w:tcW w:w="1879" w:type="dxa"/>
            <w:tcBorders>
              <w:top w:val="single" w:color="auto" w:sz="4" w:space="0"/>
              <w:left w:val="single" w:color="auto" w:sz="4" w:space="0"/>
              <w:bottom w:val="single" w:color="auto" w:sz="4" w:space="0"/>
              <w:right w:val="single" w:color="auto" w:sz="4" w:space="0"/>
            </w:tcBorders>
            <w:noWrap w:val="0"/>
            <w:vAlign w:val="top"/>
          </w:tcPr>
          <w:p w14:paraId="5A8C4905">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p>
        </w:tc>
        <w:tc>
          <w:tcPr>
            <w:tcW w:w="1663" w:type="dxa"/>
            <w:tcBorders>
              <w:top w:val="single" w:color="auto" w:sz="4" w:space="0"/>
              <w:left w:val="single" w:color="auto" w:sz="4" w:space="0"/>
              <w:bottom w:val="single" w:color="auto" w:sz="4" w:space="0"/>
              <w:right w:val="single" w:color="auto" w:sz="4" w:space="0"/>
            </w:tcBorders>
            <w:noWrap w:val="0"/>
            <w:vAlign w:val="top"/>
          </w:tcPr>
          <w:p w14:paraId="495F2F1C">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p>
        </w:tc>
        <w:tc>
          <w:tcPr>
            <w:tcW w:w="1231" w:type="dxa"/>
            <w:tcBorders>
              <w:top w:val="single" w:color="auto" w:sz="4" w:space="0"/>
              <w:left w:val="single" w:color="auto" w:sz="4" w:space="0"/>
              <w:bottom w:val="single" w:color="auto" w:sz="4" w:space="0"/>
              <w:right w:val="single" w:color="auto" w:sz="4" w:space="0"/>
            </w:tcBorders>
            <w:noWrap w:val="0"/>
            <w:vAlign w:val="top"/>
          </w:tcPr>
          <w:p w14:paraId="695CC726">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p>
        </w:tc>
      </w:tr>
      <w:tr w14:paraId="1FA4E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2411" w:type="dxa"/>
            <w:tcBorders>
              <w:top w:val="single" w:color="auto" w:sz="4" w:space="0"/>
              <w:left w:val="single" w:color="auto" w:sz="4" w:space="0"/>
              <w:bottom w:val="single" w:color="auto" w:sz="4" w:space="0"/>
              <w:right w:val="single" w:color="auto" w:sz="4" w:space="0"/>
            </w:tcBorders>
            <w:noWrap w:val="0"/>
            <w:vAlign w:val="top"/>
          </w:tcPr>
          <w:p w14:paraId="3066BD6E">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p>
        </w:tc>
        <w:tc>
          <w:tcPr>
            <w:tcW w:w="8347" w:type="dxa"/>
            <w:gridSpan w:val="5"/>
            <w:tcBorders>
              <w:top w:val="single" w:color="auto" w:sz="4" w:space="0"/>
              <w:left w:val="single" w:color="auto" w:sz="4" w:space="0"/>
              <w:bottom w:val="single" w:color="auto" w:sz="4" w:space="0"/>
              <w:right w:val="single" w:color="auto" w:sz="4" w:space="0"/>
            </w:tcBorders>
            <w:noWrap w:val="0"/>
            <w:vAlign w:val="top"/>
          </w:tcPr>
          <w:p w14:paraId="239CCA47">
            <w:pPr>
              <w:pStyle w:val="49"/>
              <w:keepNext w:val="0"/>
              <w:keepLines w:val="0"/>
              <w:pageBreakBefore w:val="0"/>
              <w:kinsoku/>
              <w:wordWrap/>
              <w:overflowPunct/>
              <w:topLinePunct w:val="0"/>
              <w:autoSpaceDE/>
              <w:autoSpaceDN/>
              <w:bidi w:val="0"/>
              <w:adjustRightInd/>
              <w:snapToGrid w:val="0"/>
              <w:spacing w:line="560" w:lineRule="exact"/>
              <w:textAlignment w:val="auto"/>
              <w:rPr>
                <w:rFonts w:hint="eastAsia" w:ascii="方正仿宋简体" w:hAnsi="方正仿宋简体" w:eastAsia="方正仿宋简体" w:cs="方正仿宋简体"/>
                <w:b w:val="0"/>
                <w:bCs w:val="0"/>
                <w:color w:val="000000" w:themeColor="text1"/>
                <w:kern w:val="0"/>
                <w:sz w:val="24"/>
                <w:szCs w:val="24"/>
              </w:rPr>
            </w:pPr>
            <w:r>
              <w:rPr>
                <w:rFonts w:hint="eastAsia" w:ascii="方正仿宋简体" w:hAnsi="方正仿宋简体" w:eastAsia="方正仿宋简体" w:cs="方正仿宋简体"/>
                <w:b w:val="0"/>
                <w:bCs w:val="0"/>
                <w:color w:val="000000" w:themeColor="text1"/>
                <w:kern w:val="0"/>
                <w:sz w:val="24"/>
                <w:szCs w:val="24"/>
              </w:rPr>
              <w:t>合计人民币金额（大写）：</w:t>
            </w:r>
            <w:r>
              <w:rPr>
                <w:rFonts w:hint="eastAsia" w:ascii="方正仿宋简体" w:hAnsi="方正仿宋简体" w:eastAsia="方正仿宋简体" w:cs="方正仿宋简体"/>
                <w:b w:val="0"/>
                <w:bCs w:val="0"/>
                <w:color w:val="000000" w:themeColor="text1"/>
                <w:sz w:val="24"/>
                <w:szCs w:val="24"/>
              </w:rPr>
              <w:t xml:space="preserve">                           </w:t>
            </w:r>
            <w:r>
              <w:rPr>
                <w:rFonts w:hint="eastAsia" w:ascii="方正仿宋简体" w:hAnsi="方正仿宋简体" w:eastAsia="方正仿宋简体" w:cs="方正仿宋简体"/>
                <w:b w:val="0"/>
                <w:bCs w:val="0"/>
                <w:color w:val="000000" w:themeColor="text1"/>
                <w:kern w:val="0"/>
                <w:sz w:val="24"/>
                <w:szCs w:val="24"/>
              </w:rPr>
              <w:t>（¥:</w:t>
            </w:r>
            <w:r>
              <w:rPr>
                <w:rFonts w:hint="eastAsia" w:ascii="方正仿宋简体" w:hAnsi="方正仿宋简体" w:eastAsia="方正仿宋简体" w:cs="方正仿宋简体"/>
                <w:b w:val="0"/>
                <w:bCs w:val="0"/>
                <w:color w:val="000000" w:themeColor="text1"/>
                <w:sz w:val="24"/>
                <w:szCs w:val="24"/>
              </w:rPr>
              <w:t xml:space="preserve">        </w:t>
            </w:r>
            <w:r>
              <w:rPr>
                <w:rFonts w:hint="eastAsia" w:ascii="方正仿宋简体" w:hAnsi="方正仿宋简体" w:eastAsia="方正仿宋简体" w:cs="方正仿宋简体"/>
                <w:b w:val="0"/>
                <w:bCs w:val="0"/>
                <w:color w:val="000000" w:themeColor="text1"/>
                <w:kern w:val="0"/>
                <w:sz w:val="24"/>
                <w:szCs w:val="24"/>
              </w:rPr>
              <w:t xml:space="preserve">）                     </w:t>
            </w:r>
          </w:p>
        </w:tc>
      </w:tr>
    </w:tbl>
    <w:p w14:paraId="7D996272">
      <w:pPr>
        <w:numPr>
          <w:ilvl w:val="0"/>
          <w:numId w:val="0"/>
        </w:numPr>
        <w:rPr>
          <w:rFonts w:hint="eastAsia"/>
          <w:b w:val="0"/>
          <w:bCs w:val="0"/>
          <w:lang w:eastAsia="zh-CN"/>
        </w:rPr>
      </w:pPr>
    </w:p>
    <w:p w14:paraId="3B1119D1">
      <w:pPr>
        <w:numPr>
          <w:ilvl w:val="0"/>
          <w:numId w:val="0"/>
        </w:numPr>
        <w:rPr>
          <w:rFonts w:hint="eastAsia"/>
          <w:lang w:val="en-US" w:eastAsia="zh-CN"/>
        </w:rPr>
      </w:pPr>
      <w:r>
        <w:rPr>
          <w:rFonts w:hint="eastAsia" w:ascii="方正仿宋简体" w:hAnsi="方正仿宋简体" w:eastAsia="方正仿宋简体" w:cs="方正仿宋简体"/>
          <w:b w:val="0"/>
          <w:bCs w:val="0"/>
          <w:color w:val="000000"/>
          <w:sz w:val="32"/>
          <w:szCs w:val="32"/>
          <w:lang w:eastAsia="zh-CN"/>
        </w:rPr>
        <w:t>注：请于</w:t>
      </w:r>
      <w:r>
        <w:rPr>
          <w:rFonts w:hint="eastAsia" w:ascii="方正仿宋简体" w:hAnsi="方正仿宋简体" w:eastAsia="方正仿宋简体" w:cs="方正仿宋简体"/>
          <w:b w:val="0"/>
          <w:bCs w:val="0"/>
          <w:color w:val="auto"/>
          <w:sz w:val="32"/>
          <w:szCs w:val="32"/>
          <w:highlight w:val="none"/>
          <w:lang w:val="en-US" w:eastAsia="zh-CN"/>
        </w:rPr>
        <w:t>9月25日</w:t>
      </w:r>
      <w:r>
        <w:rPr>
          <w:rFonts w:hint="eastAsia" w:ascii="方正仿宋简体" w:hAnsi="方正仿宋简体" w:eastAsia="方正仿宋简体" w:cs="方正仿宋简体"/>
          <w:b w:val="0"/>
          <w:bCs w:val="0"/>
          <w:color w:val="000000"/>
          <w:sz w:val="32"/>
          <w:szCs w:val="32"/>
          <w:lang w:val="en-US" w:eastAsia="zh-CN"/>
        </w:rPr>
        <w:t>前将盖章后的报价表回传。</w:t>
      </w:r>
      <w:bookmarkStart w:id="2" w:name="_GoBack"/>
      <w:bookmarkEnd w:id="2"/>
    </w:p>
    <w:sectPr>
      <w:footerReference r:id="rId3" w:type="default"/>
      <w:pgSz w:w="11907" w:h="16840"/>
      <w:pgMar w:top="2098" w:right="1531" w:bottom="1985" w:left="1531"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Eʩ">
    <w:altName w:val="微软雅黑"/>
    <w:panose1 w:val="00000000000000000000"/>
    <w:charset w:val="00"/>
    <w:family w:val="auto"/>
    <w:pitch w:val="default"/>
    <w:sig w:usb0="00000000" w:usb1="00000000" w:usb2="00000000" w:usb3="00000000" w:csb0="00040001" w:csb1="00000000"/>
  </w:font>
  <w:font w:name="MS Sans Serif">
    <w:altName w:val="Segoe Print"/>
    <w:panose1 w:val="020B0500000000000000"/>
    <w:charset w:val="00"/>
    <w:family w:val="auto"/>
    <w:pitch w:val="default"/>
    <w:sig w:usb0="00000000" w:usb1="00000000" w:usb2="00000000" w:usb3="00000000" w:csb0="00040001" w:csb1="00000000"/>
  </w:font>
  <w:font w:name=".......">
    <w:altName w:val="宋体"/>
    <w:panose1 w:val="00000000000000000000"/>
    <w:charset w:val="86"/>
    <w:family w:val="roma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EEDBD">
    <w:pPr>
      <w:pStyle w:val="13"/>
    </w:pPr>
    <w:r>
      <w:pict>
        <v:shape id="_x0000_s3076" o:spid="_x0000_s307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23B54B2A">
                <w:pPr>
                  <w:pStyle w:val="13"/>
                </w:pPr>
                <w:r>
                  <w:fldChar w:fldCharType="begin"/>
                </w:r>
                <w:r>
                  <w:instrText xml:space="preserve"> PAGE  \* MERGEFORMAT </w:instrText>
                </w:r>
                <w:r>
                  <w:fldChar w:fldCharType="separate"/>
                </w:r>
                <w:r>
                  <w:t>- 2 -</w:t>
                </w:r>
                <w:r>
                  <w:fldChar w:fldCharType="end"/>
                </w:r>
              </w:p>
            </w:txbxContent>
          </v:textbox>
        </v:shape>
      </w:pict>
    </w:r>
    <w:r>
      <w:pict>
        <v:shape id="文本框 26" o:spid="_x0000_s307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53442705">
                <w:pPr>
                  <w:pStyle w:val="1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Y0OGU4NTI5NDBlZmE2OGJlZGMxODVkMmM4NDAxNTAifQ=="/>
  </w:docVars>
  <w:rsids>
    <w:rsidRoot w:val="003C72B2"/>
    <w:rsid w:val="00006899"/>
    <w:rsid w:val="00007ED2"/>
    <w:rsid w:val="000105E3"/>
    <w:rsid w:val="00027929"/>
    <w:rsid w:val="00061281"/>
    <w:rsid w:val="000726FE"/>
    <w:rsid w:val="00072BAE"/>
    <w:rsid w:val="00082174"/>
    <w:rsid w:val="000B7C7E"/>
    <w:rsid w:val="00145649"/>
    <w:rsid w:val="00146393"/>
    <w:rsid w:val="00155D38"/>
    <w:rsid w:val="001675DA"/>
    <w:rsid w:val="001842E7"/>
    <w:rsid w:val="0019411F"/>
    <w:rsid w:val="001A1E23"/>
    <w:rsid w:val="001D4316"/>
    <w:rsid w:val="001F413F"/>
    <w:rsid w:val="001F7151"/>
    <w:rsid w:val="001F737B"/>
    <w:rsid w:val="00211D35"/>
    <w:rsid w:val="002131B9"/>
    <w:rsid w:val="00287CD1"/>
    <w:rsid w:val="002923C7"/>
    <w:rsid w:val="002A1A29"/>
    <w:rsid w:val="00301BC5"/>
    <w:rsid w:val="00317C72"/>
    <w:rsid w:val="00354D12"/>
    <w:rsid w:val="00373A07"/>
    <w:rsid w:val="00384335"/>
    <w:rsid w:val="00391413"/>
    <w:rsid w:val="003B03B7"/>
    <w:rsid w:val="003B1DA7"/>
    <w:rsid w:val="003C3BC4"/>
    <w:rsid w:val="003C4359"/>
    <w:rsid w:val="003C7218"/>
    <w:rsid w:val="003C72B2"/>
    <w:rsid w:val="003D063C"/>
    <w:rsid w:val="003D0774"/>
    <w:rsid w:val="003F2947"/>
    <w:rsid w:val="0041406A"/>
    <w:rsid w:val="0041458E"/>
    <w:rsid w:val="0042039A"/>
    <w:rsid w:val="00425F94"/>
    <w:rsid w:val="00432D81"/>
    <w:rsid w:val="00452042"/>
    <w:rsid w:val="00463B9D"/>
    <w:rsid w:val="004C1DC4"/>
    <w:rsid w:val="004C7A6E"/>
    <w:rsid w:val="0052306A"/>
    <w:rsid w:val="005423AE"/>
    <w:rsid w:val="00574F64"/>
    <w:rsid w:val="005A5B7E"/>
    <w:rsid w:val="005C7D85"/>
    <w:rsid w:val="005C7DFE"/>
    <w:rsid w:val="005D3D3F"/>
    <w:rsid w:val="005E1A23"/>
    <w:rsid w:val="005E5E50"/>
    <w:rsid w:val="005E625E"/>
    <w:rsid w:val="005F7D6D"/>
    <w:rsid w:val="00607798"/>
    <w:rsid w:val="00622C95"/>
    <w:rsid w:val="00635B17"/>
    <w:rsid w:val="00640635"/>
    <w:rsid w:val="0064628A"/>
    <w:rsid w:val="00670333"/>
    <w:rsid w:val="00672A9F"/>
    <w:rsid w:val="00685E95"/>
    <w:rsid w:val="00695191"/>
    <w:rsid w:val="006B7ACD"/>
    <w:rsid w:val="006C7D9D"/>
    <w:rsid w:val="006D7A13"/>
    <w:rsid w:val="006E0C0F"/>
    <w:rsid w:val="00702355"/>
    <w:rsid w:val="007066D9"/>
    <w:rsid w:val="00720C37"/>
    <w:rsid w:val="007449FC"/>
    <w:rsid w:val="007D1F08"/>
    <w:rsid w:val="007E03FB"/>
    <w:rsid w:val="007E129C"/>
    <w:rsid w:val="0080056C"/>
    <w:rsid w:val="00801472"/>
    <w:rsid w:val="00807815"/>
    <w:rsid w:val="00815D00"/>
    <w:rsid w:val="008236E7"/>
    <w:rsid w:val="008664CB"/>
    <w:rsid w:val="00883E4C"/>
    <w:rsid w:val="00884DDD"/>
    <w:rsid w:val="008A0E25"/>
    <w:rsid w:val="008A24D2"/>
    <w:rsid w:val="008B3C7F"/>
    <w:rsid w:val="008C5E25"/>
    <w:rsid w:val="008D63F3"/>
    <w:rsid w:val="008E6E84"/>
    <w:rsid w:val="008F2AF9"/>
    <w:rsid w:val="008F4A3E"/>
    <w:rsid w:val="008F525F"/>
    <w:rsid w:val="00903E60"/>
    <w:rsid w:val="00934074"/>
    <w:rsid w:val="0097435C"/>
    <w:rsid w:val="0099690E"/>
    <w:rsid w:val="009B47DD"/>
    <w:rsid w:val="009D6CDA"/>
    <w:rsid w:val="00A35B7D"/>
    <w:rsid w:val="00A3761B"/>
    <w:rsid w:val="00AB3587"/>
    <w:rsid w:val="00AB6FFB"/>
    <w:rsid w:val="00AD0D63"/>
    <w:rsid w:val="00AD6563"/>
    <w:rsid w:val="00B07258"/>
    <w:rsid w:val="00B12E11"/>
    <w:rsid w:val="00B370E0"/>
    <w:rsid w:val="00B37648"/>
    <w:rsid w:val="00B428EA"/>
    <w:rsid w:val="00B61CD2"/>
    <w:rsid w:val="00B72FE3"/>
    <w:rsid w:val="00B83C19"/>
    <w:rsid w:val="00B87E3A"/>
    <w:rsid w:val="00B93018"/>
    <w:rsid w:val="00BD1973"/>
    <w:rsid w:val="00C1406D"/>
    <w:rsid w:val="00C20857"/>
    <w:rsid w:val="00C21AE4"/>
    <w:rsid w:val="00C30BFB"/>
    <w:rsid w:val="00C34CB6"/>
    <w:rsid w:val="00CA0E0C"/>
    <w:rsid w:val="00CF7E95"/>
    <w:rsid w:val="00D11D41"/>
    <w:rsid w:val="00D13B66"/>
    <w:rsid w:val="00D202EB"/>
    <w:rsid w:val="00D471B3"/>
    <w:rsid w:val="00D50D14"/>
    <w:rsid w:val="00D652D8"/>
    <w:rsid w:val="00D73416"/>
    <w:rsid w:val="00D85F64"/>
    <w:rsid w:val="00DA67D3"/>
    <w:rsid w:val="00DB38E7"/>
    <w:rsid w:val="00DB3CD3"/>
    <w:rsid w:val="00DB61D5"/>
    <w:rsid w:val="00DC3EE1"/>
    <w:rsid w:val="00DF463A"/>
    <w:rsid w:val="00E00F50"/>
    <w:rsid w:val="00E01551"/>
    <w:rsid w:val="00E03554"/>
    <w:rsid w:val="00E04CB9"/>
    <w:rsid w:val="00E4059F"/>
    <w:rsid w:val="00E408CC"/>
    <w:rsid w:val="00E47E00"/>
    <w:rsid w:val="00E63E4B"/>
    <w:rsid w:val="00E730C8"/>
    <w:rsid w:val="00EA57BA"/>
    <w:rsid w:val="00EB32A8"/>
    <w:rsid w:val="00EB7777"/>
    <w:rsid w:val="00ED5696"/>
    <w:rsid w:val="00ED6F48"/>
    <w:rsid w:val="00F4591C"/>
    <w:rsid w:val="00F506F3"/>
    <w:rsid w:val="00F7578B"/>
    <w:rsid w:val="00F75BD1"/>
    <w:rsid w:val="00F75C01"/>
    <w:rsid w:val="00F8569C"/>
    <w:rsid w:val="00FB4BC9"/>
    <w:rsid w:val="00FB6581"/>
    <w:rsid w:val="00FC6303"/>
    <w:rsid w:val="00FF0F4D"/>
    <w:rsid w:val="00FF3BFF"/>
    <w:rsid w:val="00FF3CFA"/>
    <w:rsid w:val="01133AAC"/>
    <w:rsid w:val="0119541B"/>
    <w:rsid w:val="01307CE1"/>
    <w:rsid w:val="01427D36"/>
    <w:rsid w:val="0163694A"/>
    <w:rsid w:val="016557ED"/>
    <w:rsid w:val="01D87855"/>
    <w:rsid w:val="01DA59F1"/>
    <w:rsid w:val="01EE0906"/>
    <w:rsid w:val="0252148C"/>
    <w:rsid w:val="02AC7BBC"/>
    <w:rsid w:val="037939AC"/>
    <w:rsid w:val="03A303B8"/>
    <w:rsid w:val="03A614FC"/>
    <w:rsid w:val="03CC6D12"/>
    <w:rsid w:val="03D86021"/>
    <w:rsid w:val="04142D1A"/>
    <w:rsid w:val="04524A50"/>
    <w:rsid w:val="04935C85"/>
    <w:rsid w:val="04B619C6"/>
    <w:rsid w:val="05334F16"/>
    <w:rsid w:val="055021E7"/>
    <w:rsid w:val="05632E99"/>
    <w:rsid w:val="05650186"/>
    <w:rsid w:val="058A66DE"/>
    <w:rsid w:val="06324BF9"/>
    <w:rsid w:val="0644384B"/>
    <w:rsid w:val="064C47F4"/>
    <w:rsid w:val="064E22A8"/>
    <w:rsid w:val="06C5201E"/>
    <w:rsid w:val="06DE46F2"/>
    <w:rsid w:val="06E54891"/>
    <w:rsid w:val="070263F6"/>
    <w:rsid w:val="071F0120"/>
    <w:rsid w:val="072E3463"/>
    <w:rsid w:val="079E4485"/>
    <w:rsid w:val="07BD7D5C"/>
    <w:rsid w:val="07BF173F"/>
    <w:rsid w:val="07D872A4"/>
    <w:rsid w:val="07FD4629"/>
    <w:rsid w:val="081E4645"/>
    <w:rsid w:val="083F029C"/>
    <w:rsid w:val="08A643B1"/>
    <w:rsid w:val="08B81121"/>
    <w:rsid w:val="09CD2E4F"/>
    <w:rsid w:val="09D43B15"/>
    <w:rsid w:val="09D75626"/>
    <w:rsid w:val="09E508F4"/>
    <w:rsid w:val="09E96708"/>
    <w:rsid w:val="09EF4CCC"/>
    <w:rsid w:val="0A336459"/>
    <w:rsid w:val="0A3C300E"/>
    <w:rsid w:val="0A67600D"/>
    <w:rsid w:val="0A7F076C"/>
    <w:rsid w:val="0A8C0BCA"/>
    <w:rsid w:val="0AB967A1"/>
    <w:rsid w:val="0B730BB1"/>
    <w:rsid w:val="0BA2681D"/>
    <w:rsid w:val="0BC17222"/>
    <w:rsid w:val="0C287660"/>
    <w:rsid w:val="0C656B26"/>
    <w:rsid w:val="0C82178F"/>
    <w:rsid w:val="0CA00EC5"/>
    <w:rsid w:val="0CCF3E6B"/>
    <w:rsid w:val="0CF56FC4"/>
    <w:rsid w:val="0D23620C"/>
    <w:rsid w:val="0DBD1B32"/>
    <w:rsid w:val="0E074D66"/>
    <w:rsid w:val="0E496BCB"/>
    <w:rsid w:val="0E9C6291"/>
    <w:rsid w:val="0EC6715D"/>
    <w:rsid w:val="0ED82C0B"/>
    <w:rsid w:val="0F3A29BC"/>
    <w:rsid w:val="0FED3C6E"/>
    <w:rsid w:val="1043697E"/>
    <w:rsid w:val="10505C57"/>
    <w:rsid w:val="107D1C81"/>
    <w:rsid w:val="108C0722"/>
    <w:rsid w:val="10F233FE"/>
    <w:rsid w:val="11332F9A"/>
    <w:rsid w:val="115A41FA"/>
    <w:rsid w:val="116859D7"/>
    <w:rsid w:val="11740FE2"/>
    <w:rsid w:val="11801712"/>
    <w:rsid w:val="1220485D"/>
    <w:rsid w:val="12D51640"/>
    <w:rsid w:val="12E95202"/>
    <w:rsid w:val="12FB4A1F"/>
    <w:rsid w:val="131A4518"/>
    <w:rsid w:val="1392423D"/>
    <w:rsid w:val="139421C3"/>
    <w:rsid w:val="1410556A"/>
    <w:rsid w:val="142200BA"/>
    <w:rsid w:val="142A4696"/>
    <w:rsid w:val="14C55B88"/>
    <w:rsid w:val="151545B7"/>
    <w:rsid w:val="154F6EAE"/>
    <w:rsid w:val="15714255"/>
    <w:rsid w:val="15B20CAD"/>
    <w:rsid w:val="15BF7D06"/>
    <w:rsid w:val="15C2665B"/>
    <w:rsid w:val="15CA28B0"/>
    <w:rsid w:val="15DD2180"/>
    <w:rsid w:val="160F110B"/>
    <w:rsid w:val="1684408F"/>
    <w:rsid w:val="16916CCC"/>
    <w:rsid w:val="16AD3430"/>
    <w:rsid w:val="172918F6"/>
    <w:rsid w:val="1736704D"/>
    <w:rsid w:val="175673E8"/>
    <w:rsid w:val="177D55D5"/>
    <w:rsid w:val="178B33EC"/>
    <w:rsid w:val="17A34080"/>
    <w:rsid w:val="17DE6CC8"/>
    <w:rsid w:val="17E1024F"/>
    <w:rsid w:val="180D71AE"/>
    <w:rsid w:val="180E75CD"/>
    <w:rsid w:val="181920F1"/>
    <w:rsid w:val="188B1101"/>
    <w:rsid w:val="18EE79E8"/>
    <w:rsid w:val="19030B26"/>
    <w:rsid w:val="1950342C"/>
    <w:rsid w:val="1957785A"/>
    <w:rsid w:val="19882D57"/>
    <w:rsid w:val="19DA4E33"/>
    <w:rsid w:val="1A3A776F"/>
    <w:rsid w:val="1A4A6D27"/>
    <w:rsid w:val="1AA35E35"/>
    <w:rsid w:val="1AEC1D3C"/>
    <w:rsid w:val="1B2644FB"/>
    <w:rsid w:val="1BE21967"/>
    <w:rsid w:val="1C240841"/>
    <w:rsid w:val="1C653249"/>
    <w:rsid w:val="1CC61777"/>
    <w:rsid w:val="1D536904"/>
    <w:rsid w:val="1D567F19"/>
    <w:rsid w:val="1D5950AB"/>
    <w:rsid w:val="1D8D3520"/>
    <w:rsid w:val="1DB62BA2"/>
    <w:rsid w:val="1DD42E87"/>
    <w:rsid w:val="1E4A30A3"/>
    <w:rsid w:val="1E625572"/>
    <w:rsid w:val="1E6C547D"/>
    <w:rsid w:val="1E7942A9"/>
    <w:rsid w:val="1EB7483F"/>
    <w:rsid w:val="1EB75411"/>
    <w:rsid w:val="1ED01C82"/>
    <w:rsid w:val="1F164B34"/>
    <w:rsid w:val="1F6262E6"/>
    <w:rsid w:val="202339B5"/>
    <w:rsid w:val="207216B2"/>
    <w:rsid w:val="20CF5FF1"/>
    <w:rsid w:val="20F048D8"/>
    <w:rsid w:val="212A57B0"/>
    <w:rsid w:val="214F2F38"/>
    <w:rsid w:val="21EB5E87"/>
    <w:rsid w:val="22B33C01"/>
    <w:rsid w:val="230E06B9"/>
    <w:rsid w:val="232C02E2"/>
    <w:rsid w:val="23552A10"/>
    <w:rsid w:val="23614D4A"/>
    <w:rsid w:val="23A6053F"/>
    <w:rsid w:val="240A1B3D"/>
    <w:rsid w:val="24282A89"/>
    <w:rsid w:val="24887BAE"/>
    <w:rsid w:val="24E956FA"/>
    <w:rsid w:val="24EE24C5"/>
    <w:rsid w:val="2501070F"/>
    <w:rsid w:val="2518204F"/>
    <w:rsid w:val="257520CA"/>
    <w:rsid w:val="259D3232"/>
    <w:rsid w:val="25F95097"/>
    <w:rsid w:val="263E38C3"/>
    <w:rsid w:val="269218A2"/>
    <w:rsid w:val="269C642B"/>
    <w:rsid w:val="26AB404D"/>
    <w:rsid w:val="26B365C7"/>
    <w:rsid w:val="278F42BB"/>
    <w:rsid w:val="2796741D"/>
    <w:rsid w:val="27BD03A0"/>
    <w:rsid w:val="27C12DAA"/>
    <w:rsid w:val="27E601B8"/>
    <w:rsid w:val="27F966B1"/>
    <w:rsid w:val="27FE74A4"/>
    <w:rsid w:val="2846235C"/>
    <w:rsid w:val="285A5546"/>
    <w:rsid w:val="287816E7"/>
    <w:rsid w:val="2879532C"/>
    <w:rsid w:val="28D57A73"/>
    <w:rsid w:val="28F27004"/>
    <w:rsid w:val="293E6FA3"/>
    <w:rsid w:val="2957332B"/>
    <w:rsid w:val="295F4743"/>
    <w:rsid w:val="29C02484"/>
    <w:rsid w:val="29D311A6"/>
    <w:rsid w:val="2A15114C"/>
    <w:rsid w:val="2ABB77C0"/>
    <w:rsid w:val="2ADD6F6B"/>
    <w:rsid w:val="2AEB19AB"/>
    <w:rsid w:val="2B115ED4"/>
    <w:rsid w:val="2B9B53C2"/>
    <w:rsid w:val="2BA055E1"/>
    <w:rsid w:val="2BA81351"/>
    <w:rsid w:val="2C1E0C9B"/>
    <w:rsid w:val="2C255CDA"/>
    <w:rsid w:val="2C383DBE"/>
    <w:rsid w:val="2C4A7F90"/>
    <w:rsid w:val="2CDB6A10"/>
    <w:rsid w:val="2D0E6738"/>
    <w:rsid w:val="2D6F50B0"/>
    <w:rsid w:val="2D865656"/>
    <w:rsid w:val="2D95039D"/>
    <w:rsid w:val="2DAD15D6"/>
    <w:rsid w:val="2E236997"/>
    <w:rsid w:val="2E5D4CD5"/>
    <w:rsid w:val="2E993E84"/>
    <w:rsid w:val="2EA579E3"/>
    <w:rsid w:val="2ED6796B"/>
    <w:rsid w:val="2F3761DD"/>
    <w:rsid w:val="2F4B2D58"/>
    <w:rsid w:val="2F957DE7"/>
    <w:rsid w:val="2FC03AFD"/>
    <w:rsid w:val="2FED56B9"/>
    <w:rsid w:val="2FF1751B"/>
    <w:rsid w:val="301711A7"/>
    <w:rsid w:val="30581322"/>
    <w:rsid w:val="30890CFF"/>
    <w:rsid w:val="30D85352"/>
    <w:rsid w:val="314B0D4A"/>
    <w:rsid w:val="3176470B"/>
    <w:rsid w:val="31780C15"/>
    <w:rsid w:val="31C059C1"/>
    <w:rsid w:val="31DB4D35"/>
    <w:rsid w:val="31EF234F"/>
    <w:rsid w:val="31F13CD4"/>
    <w:rsid w:val="31FB7310"/>
    <w:rsid w:val="322213F0"/>
    <w:rsid w:val="32263F4C"/>
    <w:rsid w:val="3238263B"/>
    <w:rsid w:val="32D70DE0"/>
    <w:rsid w:val="32E820A8"/>
    <w:rsid w:val="33111778"/>
    <w:rsid w:val="334C223A"/>
    <w:rsid w:val="3372325A"/>
    <w:rsid w:val="337D6D4A"/>
    <w:rsid w:val="33A46F78"/>
    <w:rsid w:val="33EB2C8B"/>
    <w:rsid w:val="34061B1B"/>
    <w:rsid w:val="340655DA"/>
    <w:rsid w:val="343B674D"/>
    <w:rsid w:val="34486BEE"/>
    <w:rsid w:val="344E5D0F"/>
    <w:rsid w:val="346D03DA"/>
    <w:rsid w:val="34AF2350"/>
    <w:rsid w:val="353826DE"/>
    <w:rsid w:val="357E7AF8"/>
    <w:rsid w:val="359A6350"/>
    <w:rsid w:val="35BA0F1A"/>
    <w:rsid w:val="35DE6AA6"/>
    <w:rsid w:val="363117B6"/>
    <w:rsid w:val="363D7718"/>
    <w:rsid w:val="365F5716"/>
    <w:rsid w:val="36674BD1"/>
    <w:rsid w:val="36815554"/>
    <w:rsid w:val="368C7C48"/>
    <w:rsid w:val="36CF0245"/>
    <w:rsid w:val="36D34AC6"/>
    <w:rsid w:val="36EB6EA0"/>
    <w:rsid w:val="37415143"/>
    <w:rsid w:val="37456D10"/>
    <w:rsid w:val="375D62A8"/>
    <w:rsid w:val="37B11B27"/>
    <w:rsid w:val="37F53094"/>
    <w:rsid w:val="38000190"/>
    <w:rsid w:val="38844E0E"/>
    <w:rsid w:val="38BA5831"/>
    <w:rsid w:val="38E2491C"/>
    <w:rsid w:val="38E55737"/>
    <w:rsid w:val="392D6D04"/>
    <w:rsid w:val="39454859"/>
    <w:rsid w:val="39B73A71"/>
    <w:rsid w:val="3A0A0A5A"/>
    <w:rsid w:val="3A1C3122"/>
    <w:rsid w:val="3A3D4C7D"/>
    <w:rsid w:val="3A524F30"/>
    <w:rsid w:val="3A842D04"/>
    <w:rsid w:val="3AAB0BFB"/>
    <w:rsid w:val="3ABD6139"/>
    <w:rsid w:val="3AEF6908"/>
    <w:rsid w:val="3AF02B32"/>
    <w:rsid w:val="3B580CF4"/>
    <w:rsid w:val="3B607D58"/>
    <w:rsid w:val="3C2A0995"/>
    <w:rsid w:val="3CC0779D"/>
    <w:rsid w:val="3CC476FA"/>
    <w:rsid w:val="3CE15B2B"/>
    <w:rsid w:val="3CEE6AB6"/>
    <w:rsid w:val="3D236572"/>
    <w:rsid w:val="3D430BF3"/>
    <w:rsid w:val="3D431ABC"/>
    <w:rsid w:val="3D4F1286"/>
    <w:rsid w:val="3D554AC9"/>
    <w:rsid w:val="3DA06727"/>
    <w:rsid w:val="3DD00404"/>
    <w:rsid w:val="3DE221AC"/>
    <w:rsid w:val="3E5877F8"/>
    <w:rsid w:val="3E72032C"/>
    <w:rsid w:val="3EA336E8"/>
    <w:rsid w:val="3EA359F5"/>
    <w:rsid w:val="3EB2479B"/>
    <w:rsid w:val="3ED0532E"/>
    <w:rsid w:val="3EF13475"/>
    <w:rsid w:val="3F142DBA"/>
    <w:rsid w:val="3F2C1908"/>
    <w:rsid w:val="3FD46F83"/>
    <w:rsid w:val="3FED2303"/>
    <w:rsid w:val="3FFD5E07"/>
    <w:rsid w:val="402F7E81"/>
    <w:rsid w:val="40AD1518"/>
    <w:rsid w:val="4136618F"/>
    <w:rsid w:val="41553F72"/>
    <w:rsid w:val="41AA356B"/>
    <w:rsid w:val="420243B3"/>
    <w:rsid w:val="42AE42E4"/>
    <w:rsid w:val="42C536CE"/>
    <w:rsid w:val="42F52813"/>
    <w:rsid w:val="430708C0"/>
    <w:rsid w:val="433479E9"/>
    <w:rsid w:val="43671434"/>
    <w:rsid w:val="438C5E45"/>
    <w:rsid w:val="438D1F6E"/>
    <w:rsid w:val="43990413"/>
    <w:rsid w:val="43C16B9D"/>
    <w:rsid w:val="43FA370C"/>
    <w:rsid w:val="440D7DFF"/>
    <w:rsid w:val="44140883"/>
    <w:rsid w:val="441A056A"/>
    <w:rsid w:val="44271240"/>
    <w:rsid w:val="442F39A6"/>
    <w:rsid w:val="445B1742"/>
    <w:rsid w:val="445E39AC"/>
    <w:rsid w:val="449D3A06"/>
    <w:rsid w:val="44CA6C64"/>
    <w:rsid w:val="44D61C47"/>
    <w:rsid w:val="44EB1067"/>
    <w:rsid w:val="44F01BA5"/>
    <w:rsid w:val="45183533"/>
    <w:rsid w:val="451F5C93"/>
    <w:rsid w:val="45384A93"/>
    <w:rsid w:val="454E662A"/>
    <w:rsid w:val="457F1398"/>
    <w:rsid w:val="45A121B3"/>
    <w:rsid w:val="45BE1EDF"/>
    <w:rsid w:val="463E4096"/>
    <w:rsid w:val="46AC5185"/>
    <w:rsid w:val="46AC58D2"/>
    <w:rsid w:val="46F05027"/>
    <w:rsid w:val="470B60B2"/>
    <w:rsid w:val="47124140"/>
    <w:rsid w:val="47364C3B"/>
    <w:rsid w:val="473D6BE3"/>
    <w:rsid w:val="474B1455"/>
    <w:rsid w:val="47DD279B"/>
    <w:rsid w:val="47E6448B"/>
    <w:rsid w:val="47FD5090"/>
    <w:rsid w:val="48684FE4"/>
    <w:rsid w:val="486E62EF"/>
    <w:rsid w:val="48787D0D"/>
    <w:rsid w:val="488C0ACC"/>
    <w:rsid w:val="48940185"/>
    <w:rsid w:val="494A541F"/>
    <w:rsid w:val="4A4921F6"/>
    <w:rsid w:val="4A4E22B4"/>
    <w:rsid w:val="4A5C0F3F"/>
    <w:rsid w:val="4B12232C"/>
    <w:rsid w:val="4B8077B6"/>
    <w:rsid w:val="4BA76DCE"/>
    <w:rsid w:val="4BF76374"/>
    <w:rsid w:val="4C171D3C"/>
    <w:rsid w:val="4C5878C4"/>
    <w:rsid w:val="4C8D08D4"/>
    <w:rsid w:val="4CE53C0B"/>
    <w:rsid w:val="4D202460"/>
    <w:rsid w:val="4D302B5E"/>
    <w:rsid w:val="4D671302"/>
    <w:rsid w:val="4D6F6D79"/>
    <w:rsid w:val="4D7274B3"/>
    <w:rsid w:val="4DB24761"/>
    <w:rsid w:val="4E2F1E44"/>
    <w:rsid w:val="4E3307CB"/>
    <w:rsid w:val="4E5E32FC"/>
    <w:rsid w:val="4E87710D"/>
    <w:rsid w:val="4F382B59"/>
    <w:rsid w:val="4FD0305F"/>
    <w:rsid w:val="4FDB7094"/>
    <w:rsid w:val="4FF05BFF"/>
    <w:rsid w:val="50072F62"/>
    <w:rsid w:val="500B3854"/>
    <w:rsid w:val="501A67C9"/>
    <w:rsid w:val="50EF64DB"/>
    <w:rsid w:val="50F11D4D"/>
    <w:rsid w:val="51195BDE"/>
    <w:rsid w:val="521F3C8A"/>
    <w:rsid w:val="52736B90"/>
    <w:rsid w:val="52AB2B3E"/>
    <w:rsid w:val="52AF567D"/>
    <w:rsid w:val="52E06DC0"/>
    <w:rsid w:val="533E6BCA"/>
    <w:rsid w:val="534E669B"/>
    <w:rsid w:val="535345E3"/>
    <w:rsid w:val="539804BA"/>
    <w:rsid w:val="53B10CAB"/>
    <w:rsid w:val="53D947EC"/>
    <w:rsid w:val="540B55C5"/>
    <w:rsid w:val="543763DA"/>
    <w:rsid w:val="54392565"/>
    <w:rsid w:val="54432748"/>
    <w:rsid w:val="54884679"/>
    <w:rsid w:val="557B40A4"/>
    <w:rsid w:val="55D6105E"/>
    <w:rsid w:val="56165241"/>
    <w:rsid w:val="56E667C3"/>
    <w:rsid w:val="5706114D"/>
    <w:rsid w:val="573A3AA1"/>
    <w:rsid w:val="573C5ED6"/>
    <w:rsid w:val="57885BA3"/>
    <w:rsid w:val="57B475FA"/>
    <w:rsid w:val="57D9701B"/>
    <w:rsid w:val="58102F9B"/>
    <w:rsid w:val="58402065"/>
    <w:rsid w:val="58952E3D"/>
    <w:rsid w:val="58A46618"/>
    <w:rsid w:val="58D76A1B"/>
    <w:rsid w:val="58F3591B"/>
    <w:rsid w:val="592D1F8B"/>
    <w:rsid w:val="59341992"/>
    <w:rsid w:val="593E5F51"/>
    <w:rsid w:val="598706CC"/>
    <w:rsid w:val="598F3CD1"/>
    <w:rsid w:val="59A9259E"/>
    <w:rsid w:val="59E51E19"/>
    <w:rsid w:val="59F92A56"/>
    <w:rsid w:val="5A1556CF"/>
    <w:rsid w:val="5AAC27B5"/>
    <w:rsid w:val="5AE20850"/>
    <w:rsid w:val="5AF97979"/>
    <w:rsid w:val="5B144F1C"/>
    <w:rsid w:val="5B175266"/>
    <w:rsid w:val="5B343273"/>
    <w:rsid w:val="5B3559D0"/>
    <w:rsid w:val="5B356492"/>
    <w:rsid w:val="5B395AC9"/>
    <w:rsid w:val="5B676463"/>
    <w:rsid w:val="5B6A13A8"/>
    <w:rsid w:val="5BD72015"/>
    <w:rsid w:val="5C607916"/>
    <w:rsid w:val="5C8216D1"/>
    <w:rsid w:val="5D1630CD"/>
    <w:rsid w:val="5D2020AC"/>
    <w:rsid w:val="5D324F6E"/>
    <w:rsid w:val="5DF127A3"/>
    <w:rsid w:val="5E2F6A3B"/>
    <w:rsid w:val="5E5820AD"/>
    <w:rsid w:val="5E98270F"/>
    <w:rsid w:val="5EF10E79"/>
    <w:rsid w:val="5F843F39"/>
    <w:rsid w:val="5F884BCE"/>
    <w:rsid w:val="5FB87422"/>
    <w:rsid w:val="5FCC4267"/>
    <w:rsid w:val="5FD17F75"/>
    <w:rsid w:val="6032679E"/>
    <w:rsid w:val="606677F9"/>
    <w:rsid w:val="6071080D"/>
    <w:rsid w:val="609915C8"/>
    <w:rsid w:val="60AB1982"/>
    <w:rsid w:val="60CE5945"/>
    <w:rsid w:val="60EB6D1D"/>
    <w:rsid w:val="60F4668A"/>
    <w:rsid w:val="610E192B"/>
    <w:rsid w:val="611B4655"/>
    <w:rsid w:val="612F6065"/>
    <w:rsid w:val="615369E7"/>
    <w:rsid w:val="61592DAD"/>
    <w:rsid w:val="619025C2"/>
    <w:rsid w:val="61CD442E"/>
    <w:rsid w:val="621970D9"/>
    <w:rsid w:val="6222612B"/>
    <w:rsid w:val="62435F2B"/>
    <w:rsid w:val="627B7099"/>
    <w:rsid w:val="62983A82"/>
    <w:rsid w:val="630F3CA7"/>
    <w:rsid w:val="6354544A"/>
    <w:rsid w:val="63781CB0"/>
    <w:rsid w:val="637F3845"/>
    <w:rsid w:val="63D12548"/>
    <w:rsid w:val="63E24EDE"/>
    <w:rsid w:val="63ED63CB"/>
    <w:rsid w:val="63EE04C8"/>
    <w:rsid w:val="63F142BB"/>
    <w:rsid w:val="64714AA1"/>
    <w:rsid w:val="64F2322A"/>
    <w:rsid w:val="64FE517D"/>
    <w:rsid w:val="6532406C"/>
    <w:rsid w:val="653E13B0"/>
    <w:rsid w:val="654900AF"/>
    <w:rsid w:val="65B16F10"/>
    <w:rsid w:val="65FB28EE"/>
    <w:rsid w:val="66260026"/>
    <w:rsid w:val="662E2BE6"/>
    <w:rsid w:val="665472E7"/>
    <w:rsid w:val="666A68A7"/>
    <w:rsid w:val="666C109B"/>
    <w:rsid w:val="66CC30E7"/>
    <w:rsid w:val="66DF18B6"/>
    <w:rsid w:val="673B5050"/>
    <w:rsid w:val="67447881"/>
    <w:rsid w:val="67B21A3D"/>
    <w:rsid w:val="67BC4473"/>
    <w:rsid w:val="67FB5427"/>
    <w:rsid w:val="686A582E"/>
    <w:rsid w:val="692A2FFC"/>
    <w:rsid w:val="69373656"/>
    <w:rsid w:val="697623C9"/>
    <w:rsid w:val="69767501"/>
    <w:rsid w:val="697755F8"/>
    <w:rsid w:val="698465FB"/>
    <w:rsid w:val="69E42864"/>
    <w:rsid w:val="6A134C64"/>
    <w:rsid w:val="6A543FAD"/>
    <w:rsid w:val="6A6523EA"/>
    <w:rsid w:val="6A816D15"/>
    <w:rsid w:val="6AB735DF"/>
    <w:rsid w:val="6AE1414B"/>
    <w:rsid w:val="6B1523CC"/>
    <w:rsid w:val="6B31109B"/>
    <w:rsid w:val="6B362039"/>
    <w:rsid w:val="6B4A1577"/>
    <w:rsid w:val="6B7721DD"/>
    <w:rsid w:val="6B7A52F8"/>
    <w:rsid w:val="6B8E0995"/>
    <w:rsid w:val="6B96446B"/>
    <w:rsid w:val="6BB30C10"/>
    <w:rsid w:val="6BC7335C"/>
    <w:rsid w:val="6C5825CC"/>
    <w:rsid w:val="6CBA1F4B"/>
    <w:rsid w:val="6CBF583B"/>
    <w:rsid w:val="6D0A3BB9"/>
    <w:rsid w:val="6D142CA4"/>
    <w:rsid w:val="6D2A2C78"/>
    <w:rsid w:val="6D4976CA"/>
    <w:rsid w:val="6D985889"/>
    <w:rsid w:val="6E326328"/>
    <w:rsid w:val="6EAF65D9"/>
    <w:rsid w:val="6ED83965"/>
    <w:rsid w:val="6EE9452F"/>
    <w:rsid w:val="6F081CBC"/>
    <w:rsid w:val="6F352925"/>
    <w:rsid w:val="6F370314"/>
    <w:rsid w:val="6F4F7756"/>
    <w:rsid w:val="6F53568A"/>
    <w:rsid w:val="6F85199A"/>
    <w:rsid w:val="6FAF5D4B"/>
    <w:rsid w:val="70266C21"/>
    <w:rsid w:val="708D32F6"/>
    <w:rsid w:val="711E5FCC"/>
    <w:rsid w:val="718858A9"/>
    <w:rsid w:val="719B00CC"/>
    <w:rsid w:val="71A146B0"/>
    <w:rsid w:val="71BF06F5"/>
    <w:rsid w:val="71DC5C34"/>
    <w:rsid w:val="72616729"/>
    <w:rsid w:val="7273290E"/>
    <w:rsid w:val="729873B0"/>
    <w:rsid w:val="72BA1306"/>
    <w:rsid w:val="72C42BF3"/>
    <w:rsid w:val="7318578E"/>
    <w:rsid w:val="73450A43"/>
    <w:rsid w:val="73525469"/>
    <w:rsid w:val="737C0BF6"/>
    <w:rsid w:val="73CD1337"/>
    <w:rsid w:val="73D06AE6"/>
    <w:rsid w:val="73F71123"/>
    <w:rsid w:val="741D256B"/>
    <w:rsid w:val="74357572"/>
    <w:rsid w:val="748C0F8F"/>
    <w:rsid w:val="753E2A70"/>
    <w:rsid w:val="75556934"/>
    <w:rsid w:val="757513E8"/>
    <w:rsid w:val="759C734C"/>
    <w:rsid w:val="75A6217F"/>
    <w:rsid w:val="75B022D9"/>
    <w:rsid w:val="75E35798"/>
    <w:rsid w:val="76216159"/>
    <w:rsid w:val="76306354"/>
    <w:rsid w:val="765C0C7C"/>
    <w:rsid w:val="77330C69"/>
    <w:rsid w:val="7782695D"/>
    <w:rsid w:val="781901CA"/>
    <w:rsid w:val="783E3025"/>
    <w:rsid w:val="783F4F9B"/>
    <w:rsid w:val="78431D98"/>
    <w:rsid w:val="7861205B"/>
    <w:rsid w:val="789D4C76"/>
    <w:rsid w:val="78A27BEF"/>
    <w:rsid w:val="78B96901"/>
    <w:rsid w:val="78C23385"/>
    <w:rsid w:val="78C65A51"/>
    <w:rsid w:val="7901637C"/>
    <w:rsid w:val="793600A4"/>
    <w:rsid w:val="794B07BC"/>
    <w:rsid w:val="796925CB"/>
    <w:rsid w:val="797F1485"/>
    <w:rsid w:val="79C379CA"/>
    <w:rsid w:val="79D512F9"/>
    <w:rsid w:val="7A377B76"/>
    <w:rsid w:val="7A3A25D4"/>
    <w:rsid w:val="7A5A5909"/>
    <w:rsid w:val="7AAE6670"/>
    <w:rsid w:val="7AE4631F"/>
    <w:rsid w:val="7AFE23A5"/>
    <w:rsid w:val="7B60301D"/>
    <w:rsid w:val="7B9102D5"/>
    <w:rsid w:val="7B982F62"/>
    <w:rsid w:val="7C8C2394"/>
    <w:rsid w:val="7CD77D02"/>
    <w:rsid w:val="7CE429EE"/>
    <w:rsid w:val="7CF95DA2"/>
    <w:rsid w:val="7D504E8D"/>
    <w:rsid w:val="7D5C1D07"/>
    <w:rsid w:val="7D606CE7"/>
    <w:rsid w:val="7DC06121"/>
    <w:rsid w:val="7DC20B7F"/>
    <w:rsid w:val="7E963D85"/>
    <w:rsid w:val="7EBF36D8"/>
    <w:rsid w:val="7EC27BD2"/>
    <w:rsid w:val="7EE31583"/>
    <w:rsid w:val="7F0E5F91"/>
    <w:rsid w:val="7F1C13F7"/>
    <w:rsid w:val="7F525458"/>
    <w:rsid w:val="7F9E50B8"/>
    <w:rsid w:val="7FE90169"/>
    <w:rsid w:val="7FE94591"/>
    <w:rsid w:val="7FF63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26"/>
    <w:qFormat/>
    <w:uiPriority w:val="0"/>
    <w:pPr>
      <w:keepNext/>
      <w:keepLines/>
      <w:spacing w:before="260" w:after="260" w:line="415"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qFormat/>
    <w:uiPriority w:val="0"/>
    <w:pPr>
      <w:widowControl/>
      <w:spacing w:after="200" w:line="276" w:lineRule="auto"/>
      <w:ind w:left="720"/>
      <w:contextualSpacing/>
      <w:jc w:val="left"/>
    </w:pPr>
    <w:rPr>
      <w:rFonts w:ascii="Calibri" w:hAnsi="Calibri"/>
      <w:kern w:val="0"/>
      <w:sz w:val="22"/>
      <w:szCs w:val="22"/>
      <w:lang w:eastAsia="en-US" w:bidi="en-US"/>
    </w:rPr>
  </w:style>
  <w:style w:type="paragraph" w:styleId="6">
    <w:name w:val="Normal Indent"/>
    <w:basedOn w:val="1"/>
    <w:qFormat/>
    <w:uiPriority w:val="0"/>
    <w:pPr>
      <w:ind w:firstLine="200" w:firstLineChars="200"/>
    </w:pPr>
  </w:style>
  <w:style w:type="paragraph" w:styleId="7">
    <w:name w:val="Body Text"/>
    <w:basedOn w:val="1"/>
    <w:next w:val="1"/>
    <w:link w:val="27"/>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link w:val="28"/>
    <w:qFormat/>
    <w:uiPriority w:val="0"/>
    <w:rPr>
      <w:rFonts w:ascii="宋体" w:hAnsi="Courier New"/>
    </w:rPr>
  </w:style>
  <w:style w:type="paragraph" w:styleId="10">
    <w:name w:val="Date"/>
    <w:basedOn w:val="1"/>
    <w:next w:val="1"/>
    <w:link w:val="23"/>
    <w:qFormat/>
    <w:uiPriority w:val="0"/>
    <w:pPr>
      <w:ind w:left="100" w:leftChars="2500"/>
    </w:pPr>
  </w:style>
  <w:style w:type="paragraph" w:styleId="11">
    <w:name w:val="Body Text Indent 2"/>
    <w:basedOn w:val="1"/>
    <w:link w:val="29"/>
    <w:qFormat/>
    <w:uiPriority w:val="0"/>
    <w:pPr>
      <w:spacing w:line="400" w:lineRule="exact"/>
      <w:ind w:firstLine="480"/>
    </w:pPr>
    <w:rPr>
      <w:rFonts w:ascii="宋体" w:hAnsi="宋体"/>
    </w:rPr>
  </w:style>
  <w:style w:type="paragraph" w:styleId="12">
    <w:name w:val="Balloon Text"/>
    <w:basedOn w:val="1"/>
    <w:link w:val="46"/>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1"/>
    <w:pPr>
      <w:spacing w:before="4"/>
      <w:ind w:left="220"/>
    </w:pPr>
    <w:rPr>
      <w:rFonts w:ascii="宋体" w:hAnsi="宋体" w:cs="宋体"/>
      <w:sz w:val="28"/>
      <w:szCs w:val="28"/>
      <w:lang w:val="zh-CN" w:bidi="zh-CN"/>
    </w:rPr>
  </w:style>
  <w:style w:type="paragraph" w:styleId="16">
    <w:name w:val="Subtitle"/>
    <w:basedOn w:val="1"/>
    <w:next w:val="1"/>
    <w:link w:val="30"/>
    <w:qFormat/>
    <w:uiPriority w:val="99"/>
    <w:pPr>
      <w:spacing w:before="240" w:after="60" w:line="312" w:lineRule="auto"/>
      <w:jc w:val="center"/>
      <w:outlineLvl w:val="1"/>
    </w:pPr>
    <w:rPr>
      <w:rFonts w:ascii="Cambria" w:hAnsi="Cambria" w:cs="Cambria"/>
      <w:b/>
      <w:bCs/>
      <w:kern w:val="28"/>
      <w:sz w:val="32"/>
      <w:szCs w:val="32"/>
    </w:rPr>
  </w:style>
  <w:style w:type="paragraph" w:styleId="17">
    <w:name w:val="Normal (Web)"/>
    <w:basedOn w:val="1"/>
    <w:qFormat/>
    <w:uiPriority w:val="0"/>
    <w:pPr>
      <w:widowControl/>
      <w:spacing w:before="100" w:beforeAutospacing="1" w:after="100" w:afterAutospacing="1"/>
      <w:jc w:val="left"/>
    </w:pPr>
    <w:rPr>
      <w:rFonts w:ascii="宋体"/>
      <w:kern w:val="0"/>
      <w:sz w:val="18"/>
      <w:szCs w:val="18"/>
    </w:rPr>
  </w:style>
  <w:style w:type="paragraph" w:styleId="18">
    <w:name w:val="Body Text First Indent 2"/>
    <w:basedOn w:val="8"/>
    <w:qFormat/>
    <w:uiPriority w:val="0"/>
    <w:pPr>
      <w:ind w:firstLine="420" w:firstLineChars="200"/>
    </w:pPr>
  </w:style>
  <w:style w:type="table" w:styleId="20">
    <w:name w:val="Table Grid"/>
    <w:basedOn w:val="1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qFormat/>
    <w:uiPriority w:val="0"/>
  </w:style>
  <w:style w:type="character" w:customStyle="1" w:styleId="23">
    <w:name w:val="日期 Char"/>
    <w:basedOn w:val="21"/>
    <w:link w:val="10"/>
    <w:qFormat/>
    <w:uiPriority w:val="0"/>
    <w:rPr>
      <w:kern w:val="2"/>
      <w:sz w:val="21"/>
      <w:szCs w:val="24"/>
    </w:rPr>
  </w:style>
  <w:style w:type="character" w:customStyle="1" w:styleId="24">
    <w:name w:val="标题 1 Char"/>
    <w:basedOn w:val="21"/>
    <w:link w:val="3"/>
    <w:qFormat/>
    <w:uiPriority w:val="0"/>
    <w:rPr>
      <w:b/>
      <w:bCs/>
      <w:kern w:val="44"/>
      <w:sz w:val="44"/>
      <w:szCs w:val="44"/>
    </w:rPr>
  </w:style>
  <w:style w:type="character" w:customStyle="1" w:styleId="25">
    <w:name w:val="标题 2 Char"/>
    <w:basedOn w:val="21"/>
    <w:link w:val="4"/>
    <w:qFormat/>
    <w:uiPriority w:val="0"/>
    <w:rPr>
      <w:rFonts w:ascii="Arial" w:hAnsi="Arial" w:eastAsia="黑体"/>
      <w:b/>
      <w:bCs/>
      <w:kern w:val="2"/>
      <w:sz w:val="32"/>
      <w:szCs w:val="32"/>
    </w:rPr>
  </w:style>
  <w:style w:type="character" w:customStyle="1" w:styleId="26">
    <w:name w:val="标题 3 Char"/>
    <w:basedOn w:val="21"/>
    <w:link w:val="5"/>
    <w:qFormat/>
    <w:uiPriority w:val="0"/>
    <w:rPr>
      <w:b/>
      <w:bCs/>
      <w:kern w:val="2"/>
      <w:sz w:val="32"/>
      <w:szCs w:val="32"/>
    </w:rPr>
  </w:style>
  <w:style w:type="character" w:customStyle="1" w:styleId="27">
    <w:name w:val="正文文本 Char"/>
    <w:basedOn w:val="21"/>
    <w:link w:val="7"/>
    <w:qFormat/>
    <w:uiPriority w:val="0"/>
    <w:rPr>
      <w:kern w:val="2"/>
      <w:sz w:val="21"/>
      <w:szCs w:val="24"/>
    </w:rPr>
  </w:style>
  <w:style w:type="character" w:customStyle="1" w:styleId="28">
    <w:name w:val="纯文本 Char"/>
    <w:basedOn w:val="21"/>
    <w:link w:val="9"/>
    <w:qFormat/>
    <w:uiPriority w:val="0"/>
    <w:rPr>
      <w:rFonts w:ascii="宋体" w:hAnsi="Courier New"/>
      <w:kern w:val="2"/>
      <w:sz w:val="21"/>
      <w:szCs w:val="24"/>
    </w:rPr>
  </w:style>
  <w:style w:type="character" w:customStyle="1" w:styleId="29">
    <w:name w:val="正文文本缩进 2 Char"/>
    <w:basedOn w:val="21"/>
    <w:link w:val="11"/>
    <w:qFormat/>
    <w:uiPriority w:val="0"/>
    <w:rPr>
      <w:rFonts w:ascii="宋体" w:hAnsi="宋体"/>
      <w:kern w:val="2"/>
      <w:sz w:val="21"/>
      <w:szCs w:val="24"/>
    </w:rPr>
  </w:style>
  <w:style w:type="character" w:customStyle="1" w:styleId="30">
    <w:name w:val="副标题 Char"/>
    <w:basedOn w:val="21"/>
    <w:link w:val="16"/>
    <w:qFormat/>
    <w:uiPriority w:val="99"/>
    <w:rPr>
      <w:rFonts w:ascii="Cambria" w:hAnsi="Cambria" w:cs="Cambria"/>
      <w:b/>
      <w:bCs/>
      <w:kern w:val="28"/>
      <w:sz w:val="32"/>
      <w:szCs w:val="32"/>
    </w:rPr>
  </w:style>
  <w:style w:type="character" w:customStyle="1" w:styleId="31">
    <w:name w:val="font31"/>
    <w:qFormat/>
    <w:uiPriority w:val="0"/>
    <w:rPr>
      <w:rFonts w:hint="eastAsia" w:ascii="宋体" w:hAnsi="宋体" w:eastAsia="宋体" w:cs="宋体"/>
      <w:color w:val="000000"/>
      <w:sz w:val="21"/>
      <w:szCs w:val="21"/>
      <w:u w:val="none"/>
    </w:rPr>
  </w:style>
  <w:style w:type="character" w:customStyle="1" w:styleId="32">
    <w:name w:val="font71"/>
    <w:basedOn w:val="21"/>
    <w:qFormat/>
    <w:uiPriority w:val="0"/>
    <w:rPr>
      <w:rFonts w:hint="eastAsia" w:ascii="宋体" w:hAnsi="宋体" w:eastAsia="宋体" w:cs="宋体"/>
      <w:color w:val="000000"/>
      <w:sz w:val="20"/>
      <w:szCs w:val="20"/>
      <w:u w:val="none"/>
    </w:rPr>
  </w:style>
  <w:style w:type="character" w:customStyle="1" w:styleId="33">
    <w:name w:val="font61"/>
    <w:basedOn w:val="21"/>
    <w:qFormat/>
    <w:uiPriority w:val="0"/>
    <w:rPr>
      <w:rFonts w:hint="eastAsia" w:ascii="宋体" w:hAnsi="宋体" w:eastAsia="宋体" w:cs="宋体"/>
      <w:color w:val="000000"/>
      <w:sz w:val="18"/>
      <w:szCs w:val="18"/>
      <w:u w:val="none"/>
    </w:rPr>
  </w:style>
  <w:style w:type="character" w:customStyle="1" w:styleId="34">
    <w:name w:val="font111"/>
    <w:qFormat/>
    <w:uiPriority w:val="0"/>
    <w:rPr>
      <w:rFonts w:hint="default" w:ascii="Eʩ" w:hAnsi="Eʩ" w:eastAsia="Eʩ" w:cs="Eʩ"/>
      <w:color w:val="000000"/>
      <w:sz w:val="21"/>
      <w:szCs w:val="21"/>
      <w:u w:val="single"/>
    </w:rPr>
  </w:style>
  <w:style w:type="character" w:customStyle="1" w:styleId="35">
    <w:name w:val="font91"/>
    <w:basedOn w:val="21"/>
    <w:qFormat/>
    <w:uiPriority w:val="0"/>
    <w:rPr>
      <w:rFonts w:hint="default" w:ascii="Arial" w:hAnsi="Arial" w:cs="Arial"/>
      <w:color w:val="000000"/>
      <w:sz w:val="20"/>
      <w:szCs w:val="20"/>
      <w:u w:val="none"/>
    </w:rPr>
  </w:style>
  <w:style w:type="character" w:customStyle="1" w:styleId="36">
    <w:name w:val="font01"/>
    <w:basedOn w:val="21"/>
    <w:qFormat/>
    <w:uiPriority w:val="0"/>
    <w:rPr>
      <w:rFonts w:ascii="Calibri" w:hAnsi="Calibri" w:cs="Calibri"/>
      <w:color w:val="000000"/>
      <w:sz w:val="20"/>
      <w:szCs w:val="20"/>
      <w:u w:val="none"/>
    </w:rPr>
  </w:style>
  <w:style w:type="character" w:customStyle="1" w:styleId="37">
    <w:name w:val="font131"/>
    <w:basedOn w:val="21"/>
    <w:qFormat/>
    <w:uiPriority w:val="0"/>
    <w:rPr>
      <w:rFonts w:hint="default" w:ascii="MS Sans Serif" w:hAnsi="MS Sans Serif" w:eastAsia="MS Sans Serif" w:cs="MS Sans Serif"/>
      <w:color w:val="000000"/>
      <w:sz w:val="20"/>
      <w:szCs w:val="20"/>
      <w:u w:val="none"/>
    </w:rPr>
  </w:style>
  <w:style w:type="paragraph" w:customStyle="1" w:styleId="38">
    <w:name w:val="Default"/>
    <w:next w:val="1"/>
    <w:qFormat/>
    <w:uiPriority w:val="0"/>
    <w:pPr>
      <w:widowControl w:val="0"/>
      <w:autoSpaceDE w:val="0"/>
      <w:autoSpaceDN w:val="0"/>
      <w:adjustRightInd w:val="0"/>
    </w:pPr>
    <w:rPr>
      <w:rFonts w:ascii="......." w:hAnsi="......." w:eastAsia="......." w:cs="......."/>
      <w:color w:val="000000"/>
      <w:sz w:val="24"/>
      <w:szCs w:val="24"/>
      <w:lang w:val="en-US" w:eastAsia="zh-CN" w:bidi="ar-SA"/>
    </w:rPr>
  </w:style>
  <w:style w:type="paragraph" w:customStyle="1" w:styleId="39">
    <w:name w:val="正文首行缩进两字符"/>
    <w:basedOn w:val="1"/>
    <w:qFormat/>
    <w:uiPriority w:val="0"/>
    <w:pPr>
      <w:spacing w:line="360" w:lineRule="auto"/>
      <w:ind w:firstLine="200" w:firstLineChars="200"/>
    </w:pPr>
  </w:style>
  <w:style w:type="paragraph" w:customStyle="1" w:styleId="4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1">
    <w:name w:val="样式 首行缩进:  2 字符"/>
    <w:basedOn w:val="1"/>
    <w:qFormat/>
    <w:uiPriority w:val="0"/>
    <w:pPr>
      <w:spacing w:line="400" w:lineRule="exact"/>
      <w:ind w:firstLine="200" w:firstLineChars="200"/>
    </w:pPr>
    <w:rPr>
      <w:rFonts w:cs="宋体"/>
      <w:sz w:val="24"/>
    </w:rPr>
  </w:style>
  <w:style w:type="paragraph" w:customStyle="1" w:styleId="42">
    <w:name w:val="列出段落1"/>
    <w:basedOn w:val="1"/>
    <w:qFormat/>
    <w:uiPriority w:val="0"/>
    <w:pPr>
      <w:widowControl/>
      <w:spacing w:before="39" w:after="158" w:line="351" w:lineRule="atLeast"/>
      <w:ind w:firstLine="419"/>
      <w:textAlignment w:val="baseline"/>
    </w:pPr>
    <w:rPr>
      <w:color w:val="000000"/>
      <w:kern w:val="0"/>
      <w:szCs w:val="20"/>
      <w:u w:color="000000"/>
    </w:rPr>
  </w:style>
  <w:style w:type="paragraph" w:customStyle="1" w:styleId="43">
    <w:name w:val="正文1"/>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44">
    <w:name w:val="缺省文本"/>
    <w:basedOn w:val="1"/>
    <w:qFormat/>
    <w:uiPriority w:val="0"/>
    <w:pPr>
      <w:autoSpaceDE w:val="0"/>
      <w:autoSpaceDN w:val="0"/>
      <w:adjustRightInd w:val="0"/>
      <w:jc w:val="left"/>
    </w:pPr>
    <w:rPr>
      <w:kern w:val="0"/>
      <w:sz w:val="24"/>
    </w:rPr>
  </w:style>
  <w:style w:type="paragraph" w:customStyle="1" w:styleId="45">
    <w:name w:val="*正文"/>
    <w:basedOn w:val="1"/>
    <w:qFormat/>
    <w:uiPriority w:val="0"/>
    <w:pPr>
      <w:spacing w:line="360" w:lineRule="auto"/>
      <w:ind w:firstLine="440" w:firstLineChars="200"/>
    </w:pPr>
    <w:rPr>
      <w:rFonts w:ascii="宋体" w:hAnsi="宋体"/>
      <w:kern w:val="0"/>
      <w:sz w:val="22"/>
    </w:rPr>
  </w:style>
  <w:style w:type="character" w:customStyle="1" w:styleId="46">
    <w:name w:val="批注框文本 Char"/>
    <w:basedOn w:val="21"/>
    <w:link w:val="12"/>
    <w:qFormat/>
    <w:uiPriority w:val="0"/>
    <w:rPr>
      <w:kern w:val="2"/>
      <w:sz w:val="18"/>
      <w:szCs w:val="18"/>
    </w:rPr>
  </w:style>
  <w:style w:type="character" w:customStyle="1" w:styleId="47">
    <w:name w:val="NormalCharacter"/>
    <w:qFormat/>
    <w:uiPriority w:val="0"/>
    <w:rPr>
      <w:rFonts w:ascii="Calibri" w:hAnsi="Calibri" w:eastAsia="宋体" w:cs="Times New Roman"/>
      <w:kern w:val="2"/>
      <w:sz w:val="21"/>
      <w:szCs w:val="24"/>
      <w:lang w:val="en-US" w:eastAsia="zh-CN" w:bidi="ar-SA"/>
    </w:rPr>
  </w:style>
  <w:style w:type="character" w:customStyle="1" w:styleId="48">
    <w:name w:val="UserStyle_14"/>
    <w:semiHidden/>
    <w:qFormat/>
    <w:uiPriority w:val="0"/>
  </w:style>
  <w:style w:type="paragraph" w:customStyle="1" w:styleId="49">
    <w:name w:val="正文_1_1"/>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6"/>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1615</Words>
  <Characters>1709</Characters>
  <Lines>2</Lines>
  <Paragraphs>4</Paragraphs>
  <TotalTime>2</TotalTime>
  <ScaleCrop>false</ScaleCrop>
  <LinksUpToDate>false</LinksUpToDate>
  <CharactersWithSpaces>1793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2021-08-03T10:22:00Z</dcterms:created>
  <dc:creator>行政办公室</dc:creator>
  <cp:lastModifiedBy>苏磊</cp:lastModifiedBy>
  <cp:lastPrinted>2024-09-11T09:06:00Z</cp:lastPrinted>
  <dcterms:modified xsi:type="dcterms:W3CDTF">2024-09-20T00:37:27Z</dcterms:modified>
  <dc:title>南充市公共交通有限责任公司</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4DC99B9A2EE6488DB1630C0C773F2E34</vt:lpwstr>
  </property>
</Properties>
</file>